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E9" w:rsidRDefault="00261CE9" w:rsidP="00373832">
      <w:pPr>
        <w:jc w:val="center"/>
        <w:rPr>
          <w:b/>
        </w:rPr>
      </w:pPr>
    </w:p>
    <w:p w:rsidR="00373832" w:rsidRDefault="00373832" w:rsidP="00373832">
      <w:pPr>
        <w:jc w:val="center"/>
        <w:rPr>
          <w:b/>
        </w:rPr>
      </w:pPr>
      <w:r w:rsidRPr="00BF5460">
        <w:rPr>
          <w:b/>
        </w:rPr>
        <w:t>Пояснительная записка</w:t>
      </w:r>
    </w:p>
    <w:p w:rsidR="00373832" w:rsidRDefault="00373832" w:rsidP="00373832">
      <w:pPr>
        <w:jc w:val="center"/>
        <w:rPr>
          <w:b/>
        </w:rPr>
      </w:pPr>
      <w:r w:rsidRPr="00BF5460">
        <w:rPr>
          <w:b/>
        </w:rPr>
        <w:t>к бухгалтерскому балансу</w:t>
      </w:r>
      <w:r>
        <w:rPr>
          <w:b/>
        </w:rPr>
        <w:t xml:space="preserve"> ОАО «1019 ВРЗ»</w:t>
      </w:r>
      <w:r w:rsidRPr="00BF5460">
        <w:rPr>
          <w:b/>
        </w:rPr>
        <w:t xml:space="preserve"> за 20</w:t>
      </w:r>
      <w:r w:rsidRPr="00F31127">
        <w:rPr>
          <w:b/>
        </w:rPr>
        <w:t>10</w:t>
      </w:r>
      <w:r w:rsidRPr="00BF5460">
        <w:rPr>
          <w:b/>
        </w:rPr>
        <w:t xml:space="preserve"> год.</w:t>
      </w:r>
    </w:p>
    <w:p w:rsidR="00373832" w:rsidRDefault="00373832" w:rsidP="00373832">
      <w:pPr>
        <w:jc w:val="center"/>
        <w:rPr>
          <w:b/>
        </w:rPr>
      </w:pPr>
    </w:p>
    <w:p w:rsidR="00261CE9" w:rsidRDefault="00261CE9" w:rsidP="00373832">
      <w:pPr>
        <w:jc w:val="both"/>
      </w:pPr>
    </w:p>
    <w:p w:rsidR="00261CE9" w:rsidRDefault="00261CE9" w:rsidP="00373832">
      <w:pPr>
        <w:jc w:val="both"/>
      </w:pPr>
    </w:p>
    <w:p w:rsidR="00373832" w:rsidRDefault="00373832" w:rsidP="00373832">
      <w:pPr>
        <w:jc w:val="both"/>
      </w:pPr>
      <w:r>
        <w:t xml:space="preserve">   </w:t>
      </w:r>
    </w:p>
    <w:p w:rsidR="00373832" w:rsidRPr="00D520A0" w:rsidRDefault="00373832" w:rsidP="00373832">
      <w:pPr>
        <w:jc w:val="both"/>
      </w:pPr>
      <w:r w:rsidRPr="00373832">
        <w:t>1</w:t>
      </w:r>
      <w:r>
        <w:t>.</w:t>
      </w:r>
      <w:r w:rsidRPr="00D520A0">
        <w:t>Сведения об организации.</w:t>
      </w:r>
    </w:p>
    <w:p w:rsidR="00373832" w:rsidRPr="00D520A0" w:rsidRDefault="00373832" w:rsidP="00373832">
      <w:pPr>
        <w:ind w:left="75"/>
        <w:jc w:val="both"/>
      </w:pPr>
    </w:p>
    <w:p w:rsidR="00373832" w:rsidRPr="00D520A0" w:rsidRDefault="00373832" w:rsidP="00373832">
      <w:pPr>
        <w:jc w:val="both"/>
      </w:pPr>
      <w:r w:rsidRPr="00D520A0">
        <w:t>Полное наименование организации: Открытое акционерное общество  «1019 Военный ремонтный завод».</w:t>
      </w:r>
    </w:p>
    <w:p w:rsidR="00373832" w:rsidRPr="00D520A0" w:rsidRDefault="00373832" w:rsidP="00373832">
      <w:pPr>
        <w:jc w:val="both"/>
      </w:pPr>
      <w:r w:rsidRPr="00D520A0">
        <w:t>Юридический и почтовый адрес: 671302, Республика Бурятия, Заиграевский район, п.  Онохой-2.</w:t>
      </w:r>
    </w:p>
    <w:p w:rsidR="00373832" w:rsidRPr="00D520A0" w:rsidRDefault="00373832" w:rsidP="00373832">
      <w:pPr>
        <w:jc w:val="both"/>
      </w:pPr>
      <w:r w:rsidRPr="00D520A0">
        <w:t>Дата государственной регистрации: 21 мая 2009 года.</w:t>
      </w:r>
    </w:p>
    <w:p w:rsidR="00373832" w:rsidRDefault="00373832" w:rsidP="00373832">
      <w:pPr>
        <w:jc w:val="both"/>
      </w:pPr>
      <w:r w:rsidRPr="00D520A0">
        <w:t>Состав акционеров: Министерство обороны РФ,</w:t>
      </w:r>
      <w:r>
        <w:t xml:space="preserve"> ОАО «Авиаремонт».</w:t>
      </w:r>
    </w:p>
    <w:p w:rsidR="00373832" w:rsidRPr="00D520A0" w:rsidRDefault="00373832" w:rsidP="00373832">
      <w:pPr>
        <w:jc w:val="both"/>
      </w:pPr>
      <w:r w:rsidRPr="00D520A0">
        <w:t>Размер уставного капитала: 82 753 тыс. руб.</w:t>
      </w:r>
    </w:p>
    <w:p w:rsidR="00373832" w:rsidRPr="00D520A0" w:rsidRDefault="00373832" w:rsidP="00373832">
      <w:pPr>
        <w:jc w:val="both"/>
      </w:pPr>
      <w:r w:rsidRPr="00D520A0">
        <w:t xml:space="preserve">Среднесписочная численность: </w:t>
      </w:r>
      <w:r>
        <w:t>389</w:t>
      </w:r>
      <w:r w:rsidRPr="00D520A0">
        <w:t xml:space="preserve"> человек. </w:t>
      </w:r>
    </w:p>
    <w:p w:rsidR="00373832" w:rsidRPr="00D520A0" w:rsidRDefault="00373832" w:rsidP="00373832">
      <w:pPr>
        <w:jc w:val="both"/>
      </w:pPr>
      <w:r w:rsidRPr="00D520A0">
        <w:t>Основной вид деятельности по ОКВЭД: 29.56.9 ремонт вооружения и военной техники.</w:t>
      </w:r>
    </w:p>
    <w:p w:rsidR="00373832" w:rsidRPr="00D520A0" w:rsidRDefault="00373832" w:rsidP="00373832">
      <w:pPr>
        <w:jc w:val="both"/>
      </w:pPr>
      <w:r w:rsidRPr="00D520A0">
        <w:t xml:space="preserve">        </w:t>
      </w:r>
      <w:r w:rsidR="00077A52">
        <w:t xml:space="preserve">   </w:t>
      </w:r>
      <w:r w:rsidRPr="00D520A0">
        <w:t>ОАО «1019 ВРЗ» создано путем  преобразования  ФГУП «1019 ЗРВТИ МО РФ» на основании приказа №379 министра обороны РФ от 12.05.09г.</w:t>
      </w:r>
    </w:p>
    <w:p w:rsidR="00373832" w:rsidRPr="00D520A0" w:rsidRDefault="00373832" w:rsidP="00373832">
      <w:pPr>
        <w:jc w:val="both"/>
      </w:pPr>
      <w:r w:rsidRPr="00D520A0">
        <w:t xml:space="preserve">        </w:t>
      </w:r>
      <w:r w:rsidR="00077A52">
        <w:t xml:space="preserve">   </w:t>
      </w:r>
      <w:r w:rsidRPr="00D520A0">
        <w:t>В единый государственный реестр юридический лиц запись о реорганизации внесена  21.05.2009г. за номером 1090327005889.</w:t>
      </w:r>
    </w:p>
    <w:p w:rsidR="00373832" w:rsidRPr="00D520A0" w:rsidRDefault="00373832" w:rsidP="00373832">
      <w:pPr>
        <w:jc w:val="both"/>
      </w:pPr>
      <w:r w:rsidRPr="00D520A0">
        <w:t xml:space="preserve">        </w:t>
      </w:r>
      <w:r w:rsidR="00077A52">
        <w:t xml:space="preserve">   </w:t>
      </w:r>
      <w:r w:rsidRPr="00D520A0">
        <w:t>ОАО «1019 ВРЗ» является правопреемником ФГУП «1019 ЗРВТИ МО РФ». Основными видами деятельности общества являются ремонт, техническое обслуживание и модернизация включенного в государственный оборонный заказ вооружения и военной техники для  Министерства обороны Российской Федерации и других органов исполнительной власти; организация производства продукции военного назначения (ПВН), специальной продукции и продукции двойного назначения (в т.ч. запасных частей, инструмента и принадлежностей); производство, установка, ремонт и техническое обслуживание систем вооружения; организация и проведение ремонта, гарантийного и послегарантийного сервисного обслуживания вооружения и военной техники (ВВТ) и др. Лицензия №00097 ВВТ-Р от 01.10.2008 г., выдана Федеральной службой по оборонному заказу.</w:t>
      </w:r>
    </w:p>
    <w:p w:rsidR="00373832" w:rsidRPr="00D520A0" w:rsidRDefault="00373832" w:rsidP="00373832">
      <w:pPr>
        <w:jc w:val="both"/>
      </w:pPr>
    </w:p>
    <w:p w:rsidR="00373832" w:rsidRPr="00D520A0" w:rsidRDefault="00373832" w:rsidP="00373832">
      <w:pPr>
        <w:jc w:val="both"/>
      </w:pPr>
      <w:r w:rsidRPr="00D520A0">
        <w:t xml:space="preserve"> 2.Текущая деятельность организации.</w:t>
      </w:r>
    </w:p>
    <w:p w:rsidR="00373832" w:rsidRPr="00D520A0" w:rsidRDefault="00373832" w:rsidP="00373832">
      <w:pPr>
        <w:ind w:firstLine="709"/>
        <w:jc w:val="both"/>
      </w:pPr>
    </w:p>
    <w:p w:rsidR="00373832" w:rsidRPr="00D520A0" w:rsidRDefault="00373832" w:rsidP="00373832">
      <w:pPr>
        <w:ind w:firstLine="709"/>
        <w:jc w:val="both"/>
      </w:pPr>
      <w:r w:rsidRPr="00D520A0">
        <w:t>Основным заказчиком на выполняемые предприятием</w:t>
      </w:r>
      <w:r w:rsidRPr="00D520A0">
        <w:rPr>
          <w:color w:val="FF0000"/>
        </w:rPr>
        <w:t xml:space="preserve"> </w:t>
      </w:r>
      <w:r w:rsidRPr="00D520A0">
        <w:t xml:space="preserve">работы   является Министерство обороны Российской Федерации, главной задачей производственной деятельности предприятия является выполнение государственного оборонного заказа, объем которого формируется в зависимости  от потребностей заказчика.          </w:t>
      </w:r>
    </w:p>
    <w:p w:rsidR="00373832" w:rsidRPr="00D520A0" w:rsidRDefault="00373832" w:rsidP="00373832">
      <w:pPr>
        <w:ind w:firstLine="709"/>
        <w:jc w:val="both"/>
      </w:pPr>
      <w:r w:rsidRPr="00D520A0">
        <w:t>Основными потребителями работ (услуг) предприятия являются войсковые соединения, от которых в соответствии с государственным контрактом поступает ВВТ, заказчики дальнего и ближнего зарубежья (в случае исполнения контрактов от сторонних заказчиков).</w:t>
      </w:r>
    </w:p>
    <w:p w:rsidR="00373832" w:rsidRPr="00D520A0" w:rsidRDefault="00373832" w:rsidP="00373832">
      <w:pPr>
        <w:ind w:firstLine="709"/>
        <w:jc w:val="both"/>
      </w:pPr>
      <w:r w:rsidRPr="00D520A0">
        <w:t xml:space="preserve">Производственные мощности ОАО «1019 ВРЗ» размещены на территории </w:t>
      </w:r>
      <w:smartTag w:uri="urn:schemas-microsoft-com:office:smarttags" w:element="metricconverter">
        <w:smartTagPr>
          <w:attr w:name="ProductID" w:val="21 га"/>
        </w:smartTagPr>
        <w:r w:rsidRPr="00D520A0">
          <w:t>2</w:t>
        </w:r>
        <w:r>
          <w:t>1</w:t>
        </w:r>
        <w:r w:rsidRPr="00D520A0">
          <w:t xml:space="preserve"> га</w:t>
        </w:r>
      </w:smartTag>
      <w:r w:rsidRPr="00D520A0">
        <w:t xml:space="preserve">. Общая площадь предприятия составляет 17820 кв.м., в том числе производственных площадей – 13576,2 кв.м. Основные фонды предприятия включают: 4 производственных цеха,  склады, ангар,  производственную площадку, полигон, 4 автодороги, 2 электростанции, водоемы, 3 линии электропередачи,  трансформаторную подстанцию, скважину, наружные сети водопровода,  КИЛ, станки, трактора, автобусы, легковые и грузовые автомашины, экскаватор, грузоподъемные механизмы и краны. </w:t>
      </w:r>
    </w:p>
    <w:p w:rsidR="00373832" w:rsidRPr="00D520A0" w:rsidRDefault="00373832" w:rsidP="00373832">
      <w:pPr>
        <w:shd w:val="clear" w:color="auto" w:fill="FFFFFF"/>
        <w:spacing w:line="278" w:lineRule="exact"/>
        <w:ind w:left="5" w:firstLine="710"/>
        <w:jc w:val="both"/>
      </w:pPr>
      <w:r w:rsidRPr="00D520A0">
        <w:t xml:space="preserve">Проведена инвентаризация </w:t>
      </w:r>
      <w:r>
        <w:t>имущества и финансовых обязательств общества. Оприходованы излишки ТМЦ на сумму 674 тыс. руб. Спи</w:t>
      </w:r>
      <w:r w:rsidRPr="00D520A0">
        <w:t xml:space="preserve">сана кредиторская </w:t>
      </w:r>
      <w:r w:rsidRPr="00D520A0">
        <w:lastRenderedPageBreak/>
        <w:t xml:space="preserve">задолженность с истекшим сроком исковой давности на сумму </w:t>
      </w:r>
      <w:r>
        <w:t>1022</w:t>
      </w:r>
      <w:r w:rsidRPr="00D520A0">
        <w:t xml:space="preserve"> тыс.руб., списана дебиторская задолженность с истекшим сроком исковой давности  на сумму </w:t>
      </w:r>
      <w:r>
        <w:t>936</w:t>
      </w:r>
      <w:r w:rsidRPr="00D520A0">
        <w:t xml:space="preserve"> тыс.руб.</w:t>
      </w:r>
    </w:p>
    <w:p w:rsidR="00373832" w:rsidRPr="00D520A0" w:rsidRDefault="00373832" w:rsidP="00373832">
      <w:pPr>
        <w:jc w:val="both"/>
      </w:pPr>
    </w:p>
    <w:p w:rsidR="00373832" w:rsidRPr="00D520A0" w:rsidRDefault="00373832" w:rsidP="00373832">
      <w:pPr>
        <w:jc w:val="both"/>
      </w:pPr>
      <w:r w:rsidRPr="00D520A0">
        <w:t>3.Особенности учетной политики.</w:t>
      </w:r>
    </w:p>
    <w:p w:rsidR="00373832" w:rsidRPr="00D520A0" w:rsidRDefault="00373832" w:rsidP="00373832">
      <w:pPr>
        <w:jc w:val="both"/>
      </w:pPr>
      <w:r w:rsidRPr="00D520A0">
        <w:t xml:space="preserve">          </w:t>
      </w:r>
    </w:p>
    <w:p w:rsidR="00373832" w:rsidRPr="00D520A0" w:rsidRDefault="00373832" w:rsidP="00373832">
      <w:pPr>
        <w:jc w:val="both"/>
      </w:pPr>
      <w:r w:rsidRPr="00D520A0">
        <w:t xml:space="preserve">        </w:t>
      </w:r>
      <w:r w:rsidR="00077A52">
        <w:t xml:space="preserve">   </w:t>
      </w:r>
      <w:r w:rsidRPr="00D520A0">
        <w:t>Бухгалтерская отчетность сформирована организацией, исходя из действующих в Российской Федерации правил бухгалтерского учета и отчетности.</w:t>
      </w:r>
    </w:p>
    <w:p w:rsidR="00373832" w:rsidRPr="00E73C39" w:rsidRDefault="00373832" w:rsidP="00373832">
      <w:pPr>
        <w:jc w:val="both"/>
      </w:pPr>
      <w:r w:rsidRPr="00D520A0">
        <w:t xml:space="preserve">        </w:t>
      </w:r>
      <w:r w:rsidR="00077A52">
        <w:t xml:space="preserve">  </w:t>
      </w:r>
      <w:r w:rsidRPr="00D520A0">
        <w:t xml:space="preserve"> В отчетном периоде Общество осуществляло списание стоимости материально-производственных запасов по  средней стоимости. Начисление амортизации объектов основных средств производится линейным способом. Срок полезного использования устанавливается на основании Классификации основных средств, включаемых в амортизационные группы, утв. постановлением Правительства России от 1 января </w:t>
      </w:r>
      <w:smartTag w:uri="urn:schemas-microsoft-com:office:smarttags" w:element="metricconverter">
        <w:smartTagPr>
          <w:attr w:name="ProductID" w:val="2002 г"/>
        </w:smartTagPr>
        <w:r w:rsidRPr="00D520A0">
          <w:t>2002 г</w:t>
        </w:r>
      </w:smartTag>
      <w:r w:rsidRPr="00D520A0">
        <w:t>. № 1. Учет затрат на производство производится с применением позаказного метода учета.  Выручка от реализации продукции, товаров (работ, услуг) для целей бухгалтерского и налогового учета для расчета налога на прибыль определяется по мере оказания услуг (отгрузки товаров покупателям, сдачи работ заказчикам). Общество применяет общий режим налогообложения</w:t>
      </w:r>
      <w:r>
        <w:t>.</w:t>
      </w:r>
      <w:r w:rsidRPr="005D66ED">
        <w:t xml:space="preserve"> </w:t>
      </w:r>
      <w:r>
        <w:t xml:space="preserve">С 1 января 2011 года </w:t>
      </w:r>
      <w:r w:rsidRPr="004D21CD">
        <w:t xml:space="preserve">к основным средствам </w:t>
      </w:r>
      <w:r>
        <w:t xml:space="preserve">будет </w:t>
      </w:r>
      <w:r w:rsidRPr="004D21CD">
        <w:t>относит</w:t>
      </w:r>
      <w:r>
        <w:t>ь</w:t>
      </w:r>
      <w:r w:rsidRPr="004D21CD">
        <w:t xml:space="preserve">ся имущество стоимостью более </w:t>
      </w:r>
      <w:r w:rsidRPr="003629F4">
        <w:t>4</w:t>
      </w:r>
      <w:r w:rsidRPr="004D21CD">
        <w:t>0 000 руб. и сроком службы более 12 месяцев.</w:t>
      </w:r>
    </w:p>
    <w:p w:rsidR="00130E6A" w:rsidRDefault="00130E6A" w:rsidP="00064FEE">
      <w:pPr>
        <w:jc w:val="both"/>
      </w:pPr>
    </w:p>
    <w:p w:rsidR="00064FEE" w:rsidRPr="00064FEE" w:rsidRDefault="00064FEE" w:rsidP="00064FEE">
      <w:pPr>
        <w:jc w:val="both"/>
      </w:pPr>
      <w:r w:rsidRPr="00064FEE">
        <w:t>Расшифровка полученных займов и кредитов</w:t>
      </w:r>
      <w:r w:rsidR="00130E6A">
        <w:t>.</w:t>
      </w:r>
    </w:p>
    <w:p w:rsidR="00064FEE" w:rsidRPr="00064FEE" w:rsidRDefault="00064FEE" w:rsidP="00064FEE">
      <w:pPr>
        <w:jc w:val="both"/>
      </w:pPr>
    </w:p>
    <w:tbl>
      <w:tblPr>
        <w:tblStyle w:val="ad"/>
        <w:tblW w:w="8694" w:type="dxa"/>
        <w:tblInd w:w="250" w:type="dxa"/>
        <w:tblLayout w:type="fixed"/>
        <w:tblLook w:val="01E0"/>
      </w:tblPr>
      <w:tblGrid>
        <w:gridCol w:w="1701"/>
        <w:gridCol w:w="1134"/>
        <w:gridCol w:w="1701"/>
        <w:gridCol w:w="1134"/>
        <w:gridCol w:w="1512"/>
        <w:gridCol w:w="1512"/>
      </w:tblGrid>
      <w:tr w:rsidR="00130E6A" w:rsidRPr="000839E7" w:rsidTr="00130E6A">
        <w:tc>
          <w:tcPr>
            <w:tcW w:w="1701" w:type="dxa"/>
            <w:vAlign w:val="center"/>
          </w:tcPr>
          <w:p w:rsidR="00130E6A" w:rsidRPr="00130E6A" w:rsidRDefault="00F43244" w:rsidP="00130E6A">
            <w:pPr>
              <w:ind w:hanging="35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К</w:t>
            </w:r>
            <w:r w:rsidR="00130E6A" w:rsidRPr="00130E6A">
              <w:rPr>
                <w:rFonts w:cs="Arial"/>
                <w:sz w:val="18"/>
                <w:szCs w:val="18"/>
              </w:rPr>
              <w:t>редитор</w:t>
            </w:r>
            <w:r>
              <w:rPr>
                <w:rFonts w:cs="Arial"/>
                <w:sz w:val="18"/>
                <w:szCs w:val="18"/>
              </w:rPr>
              <w:t xml:space="preserve"> (займодавец)</w:t>
            </w:r>
            <w:r w:rsidR="00130E6A" w:rsidRPr="00130E6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E6A" w:rsidRPr="00E73C39" w:rsidRDefault="00130E6A" w:rsidP="00130E6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130E6A">
              <w:rPr>
                <w:rFonts w:cs="Arial"/>
                <w:sz w:val="18"/>
                <w:szCs w:val="18"/>
              </w:rPr>
              <w:t>Валюта кредита</w:t>
            </w:r>
            <w:r w:rsidR="00E73C39">
              <w:rPr>
                <w:rFonts w:cs="Arial"/>
                <w:sz w:val="18"/>
                <w:szCs w:val="18"/>
              </w:rPr>
              <w:t>, займа</w:t>
            </w:r>
          </w:p>
        </w:tc>
        <w:tc>
          <w:tcPr>
            <w:tcW w:w="1701" w:type="dxa"/>
            <w:vAlign w:val="center"/>
          </w:tcPr>
          <w:p w:rsidR="00130E6A" w:rsidRPr="00130E6A" w:rsidRDefault="00130E6A" w:rsidP="00130E6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</w:t>
            </w:r>
            <w:r w:rsidRPr="00130E6A">
              <w:rPr>
                <w:rFonts w:cs="Arial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130E6A" w:rsidRPr="00130E6A" w:rsidRDefault="00130E6A" w:rsidP="00130E6A">
            <w:pPr>
              <w:pStyle w:val="a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E6A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130E6A" w:rsidRPr="00130E6A" w:rsidRDefault="00130E6A" w:rsidP="00130E6A">
            <w:pPr>
              <w:jc w:val="both"/>
              <w:rPr>
                <w:sz w:val="18"/>
                <w:szCs w:val="18"/>
              </w:rPr>
            </w:pPr>
            <w:r w:rsidRPr="00130E6A">
              <w:rPr>
                <w:sz w:val="18"/>
                <w:szCs w:val="18"/>
              </w:rPr>
              <w:t>предоставления</w:t>
            </w:r>
          </w:p>
        </w:tc>
        <w:tc>
          <w:tcPr>
            <w:tcW w:w="1512" w:type="dxa"/>
          </w:tcPr>
          <w:p w:rsidR="00130E6A" w:rsidRDefault="00130E6A" w:rsidP="00130E6A">
            <w:pPr>
              <w:ind w:hanging="35"/>
              <w:jc w:val="both"/>
              <w:rPr>
                <w:rFonts w:cs="Arial"/>
                <w:sz w:val="18"/>
                <w:szCs w:val="18"/>
              </w:rPr>
            </w:pPr>
          </w:p>
          <w:p w:rsidR="00130E6A" w:rsidRPr="00130E6A" w:rsidRDefault="00130E6A" w:rsidP="00130E6A">
            <w:pPr>
              <w:ind w:hanging="35"/>
              <w:jc w:val="both"/>
              <w:rPr>
                <w:rFonts w:cs="Arial"/>
                <w:sz w:val="18"/>
                <w:szCs w:val="18"/>
              </w:rPr>
            </w:pPr>
            <w:r w:rsidRPr="00130E6A">
              <w:rPr>
                <w:rFonts w:cs="Arial"/>
                <w:sz w:val="18"/>
                <w:szCs w:val="18"/>
              </w:rPr>
              <w:t>Дата погашения</w:t>
            </w:r>
          </w:p>
        </w:tc>
        <w:tc>
          <w:tcPr>
            <w:tcW w:w="1512" w:type="dxa"/>
          </w:tcPr>
          <w:p w:rsidR="00130E6A" w:rsidRDefault="00130E6A" w:rsidP="00130E6A">
            <w:pPr>
              <w:ind w:hanging="35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Задолженность на конец отчетного периода</w:t>
            </w:r>
          </w:p>
        </w:tc>
      </w:tr>
      <w:tr w:rsidR="00130E6A" w:rsidRPr="000839E7" w:rsidTr="00130E6A">
        <w:tc>
          <w:tcPr>
            <w:tcW w:w="1701" w:type="dxa"/>
            <w:vAlign w:val="center"/>
          </w:tcPr>
          <w:p w:rsidR="00130E6A" w:rsidRDefault="00130E6A" w:rsidP="00CA0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АКБ «Росбанк»</w:t>
            </w:r>
          </w:p>
        </w:tc>
        <w:tc>
          <w:tcPr>
            <w:tcW w:w="1134" w:type="dxa"/>
            <w:vAlign w:val="center"/>
          </w:tcPr>
          <w:p w:rsidR="00130E6A" w:rsidRDefault="00130E6A" w:rsidP="00CA088B">
            <w:pPr>
              <w:pStyle w:val="a6"/>
              <w:tabs>
                <w:tab w:val="left" w:pos="360"/>
              </w:tabs>
              <w:jc w:val="center"/>
              <w:rPr>
                <w:rFonts w:cs="Arial"/>
                <w:bCs/>
                <w:iCs/>
                <w:noProof/>
                <w:sz w:val="18"/>
                <w:szCs w:val="18"/>
              </w:rPr>
            </w:pPr>
            <w:r>
              <w:rPr>
                <w:rFonts w:cs="Arial"/>
                <w:bCs/>
                <w:iCs/>
                <w:noProof/>
                <w:sz w:val="18"/>
                <w:szCs w:val="18"/>
              </w:rPr>
              <w:t>Руб.</w:t>
            </w:r>
          </w:p>
        </w:tc>
        <w:tc>
          <w:tcPr>
            <w:tcW w:w="1701" w:type="dxa"/>
            <w:vAlign w:val="center"/>
          </w:tcPr>
          <w:p w:rsidR="00130E6A" w:rsidRDefault="00130E6A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30 000 000</w:t>
            </w:r>
          </w:p>
        </w:tc>
        <w:tc>
          <w:tcPr>
            <w:tcW w:w="1134" w:type="dxa"/>
            <w:vAlign w:val="center"/>
          </w:tcPr>
          <w:p w:rsidR="00130E6A" w:rsidRDefault="00130E6A" w:rsidP="00CA088B">
            <w:pPr>
              <w:ind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05.04.10г.</w:t>
            </w:r>
          </w:p>
        </w:tc>
        <w:tc>
          <w:tcPr>
            <w:tcW w:w="1512" w:type="dxa"/>
            <w:vAlign w:val="center"/>
          </w:tcPr>
          <w:p w:rsidR="00130E6A" w:rsidRDefault="00130E6A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15.09.10г.</w:t>
            </w:r>
          </w:p>
        </w:tc>
        <w:tc>
          <w:tcPr>
            <w:tcW w:w="1512" w:type="dxa"/>
          </w:tcPr>
          <w:p w:rsidR="00130E6A" w:rsidRDefault="00130E6A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</w:t>
            </w:r>
          </w:p>
        </w:tc>
      </w:tr>
      <w:tr w:rsidR="00F43244" w:rsidRPr="000839E7" w:rsidTr="00130E6A">
        <w:tc>
          <w:tcPr>
            <w:tcW w:w="1701" w:type="dxa"/>
            <w:vAlign w:val="center"/>
          </w:tcPr>
          <w:p w:rsidR="00F43244" w:rsidRDefault="00F43244" w:rsidP="00CA0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«Сибсиройснаб»</w:t>
            </w:r>
          </w:p>
        </w:tc>
        <w:tc>
          <w:tcPr>
            <w:tcW w:w="1134" w:type="dxa"/>
            <w:vAlign w:val="center"/>
          </w:tcPr>
          <w:p w:rsidR="00F43244" w:rsidRDefault="00F43244" w:rsidP="00CA088B">
            <w:pPr>
              <w:pStyle w:val="a6"/>
              <w:tabs>
                <w:tab w:val="left" w:pos="360"/>
              </w:tabs>
              <w:jc w:val="center"/>
              <w:rPr>
                <w:rFonts w:cs="Arial"/>
                <w:bCs/>
                <w:iCs/>
                <w:noProof/>
                <w:sz w:val="18"/>
                <w:szCs w:val="18"/>
              </w:rPr>
            </w:pPr>
            <w:r>
              <w:rPr>
                <w:rFonts w:cs="Arial"/>
                <w:bCs/>
                <w:iCs/>
                <w:noProof/>
                <w:sz w:val="18"/>
                <w:szCs w:val="18"/>
              </w:rPr>
              <w:t>Руб.</w:t>
            </w:r>
          </w:p>
        </w:tc>
        <w:tc>
          <w:tcPr>
            <w:tcW w:w="1701" w:type="dxa"/>
            <w:vAlign w:val="center"/>
          </w:tcPr>
          <w:p w:rsidR="00F43244" w:rsidRDefault="00F43244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1 500 000</w:t>
            </w:r>
          </w:p>
        </w:tc>
        <w:tc>
          <w:tcPr>
            <w:tcW w:w="1134" w:type="dxa"/>
            <w:vAlign w:val="center"/>
          </w:tcPr>
          <w:p w:rsidR="00F43244" w:rsidRDefault="00A93043" w:rsidP="00CA088B">
            <w:pPr>
              <w:ind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27.07.10г.</w:t>
            </w:r>
          </w:p>
        </w:tc>
        <w:tc>
          <w:tcPr>
            <w:tcW w:w="1512" w:type="dxa"/>
            <w:vAlign w:val="center"/>
          </w:tcPr>
          <w:p w:rsidR="00F43244" w:rsidRDefault="00A93043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28.07.10г.</w:t>
            </w:r>
          </w:p>
        </w:tc>
        <w:tc>
          <w:tcPr>
            <w:tcW w:w="1512" w:type="dxa"/>
          </w:tcPr>
          <w:p w:rsidR="00F43244" w:rsidRDefault="00A93043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</w:t>
            </w:r>
          </w:p>
        </w:tc>
      </w:tr>
      <w:tr w:rsidR="00A93043" w:rsidRPr="000839E7" w:rsidTr="00130E6A">
        <w:tc>
          <w:tcPr>
            <w:tcW w:w="1701" w:type="dxa"/>
            <w:vAlign w:val="center"/>
          </w:tcPr>
          <w:p w:rsidR="00A93043" w:rsidRDefault="00A93043" w:rsidP="00CA0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«502 ЗРВТИ»</w:t>
            </w:r>
          </w:p>
        </w:tc>
        <w:tc>
          <w:tcPr>
            <w:tcW w:w="1134" w:type="dxa"/>
            <w:vAlign w:val="center"/>
          </w:tcPr>
          <w:p w:rsidR="00A93043" w:rsidRDefault="00A93043" w:rsidP="00CA088B">
            <w:pPr>
              <w:pStyle w:val="a6"/>
              <w:tabs>
                <w:tab w:val="left" w:pos="360"/>
              </w:tabs>
              <w:jc w:val="center"/>
              <w:rPr>
                <w:rFonts w:cs="Arial"/>
                <w:bCs/>
                <w:iCs/>
                <w:noProof/>
                <w:sz w:val="18"/>
                <w:szCs w:val="18"/>
              </w:rPr>
            </w:pPr>
            <w:r>
              <w:rPr>
                <w:rFonts w:cs="Arial"/>
                <w:bCs/>
                <w:iCs/>
                <w:noProof/>
                <w:sz w:val="18"/>
                <w:szCs w:val="18"/>
              </w:rPr>
              <w:t>Руб.</w:t>
            </w:r>
          </w:p>
        </w:tc>
        <w:tc>
          <w:tcPr>
            <w:tcW w:w="1701" w:type="dxa"/>
            <w:vAlign w:val="center"/>
          </w:tcPr>
          <w:p w:rsidR="00A93043" w:rsidRDefault="00A93043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1 500 000</w:t>
            </w:r>
          </w:p>
        </w:tc>
        <w:tc>
          <w:tcPr>
            <w:tcW w:w="1134" w:type="dxa"/>
            <w:vAlign w:val="center"/>
          </w:tcPr>
          <w:p w:rsidR="00A93043" w:rsidRDefault="00A93043" w:rsidP="00CA088B">
            <w:pPr>
              <w:ind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27.07.10г.</w:t>
            </w:r>
          </w:p>
        </w:tc>
        <w:tc>
          <w:tcPr>
            <w:tcW w:w="1512" w:type="dxa"/>
            <w:vAlign w:val="center"/>
          </w:tcPr>
          <w:p w:rsidR="00A93043" w:rsidRDefault="00A93043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15.09.10г.</w:t>
            </w:r>
          </w:p>
        </w:tc>
        <w:tc>
          <w:tcPr>
            <w:tcW w:w="1512" w:type="dxa"/>
          </w:tcPr>
          <w:p w:rsidR="00A93043" w:rsidRDefault="00A93043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</w:t>
            </w:r>
          </w:p>
          <w:p w:rsidR="00A93043" w:rsidRDefault="00A93043" w:rsidP="00CA088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30E6A" w:rsidRPr="000839E7" w:rsidTr="00130E6A">
        <w:tc>
          <w:tcPr>
            <w:tcW w:w="1701" w:type="dxa"/>
            <w:vAlign w:val="center"/>
          </w:tcPr>
          <w:p w:rsidR="00130E6A" w:rsidRDefault="00130E6A" w:rsidP="00CA0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АКБ «Росбанк»</w:t>
            </w:r>
          </w:p>
        </w:tc>
        <w:tc>
          <w:tcPr>
            <w:tcW w:w="1134" w:type="dxa"/>
            <w:vAlign w:val="center"/>
          </w:tcPr>
          <w:p w:rsidR="00130E6A" w:rsidRDefault="00130E6A" w:rsidP="00CA088B">
            <w:pPr>
              <w:pStyle w:val="a6"/>
              <w:tabs>
                <w:tab w:val="left" w:pos="360"/>
              </w:tabs>
              <w:jc w:val="center"/>
              <w:rPr>
                <w:rFonts w:cs="Arial"/>
                <w:bCs/>
                <w:iCs/>
                <w:noProof/>
                <w:sz w:val="18"/>
                <w:szCs w:val="18"/>
              </w:rPr>
            </w:pPr>
            <w:r>
              <w:rPr>
                <w:rFonts w:cs="Arial"/>
                <w:bCs/>
                <w:iCs/>
                <w:noProof/>
                <w:sz w:val="18"/>
                <w:szCs w:val="18"/>
              </w:rPr>
              <w:t>Руб.</w:t>
            </w:r>
          </w:p>
        </w:tc>
        <w:tc>
          <w:tcPr>
            <w:tcW w:w="1701" w:type="dxa"/>
            <w:vAlign w:val="center"/>
          </w:tcPr>
          <w:p w:rsidR="00130E6A" w:rsidRDefault="00130E6A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30 000 000</w:t>
            </w:r>
          </w:p>
        </w:tc>
        <w:tc>
          <w:tcPr>
            <w:tcW w:w="1134" w:type="dxa"/>
            <w:vAlign w:val="center"/>
          </w:tcPr>
          <w:p w:rsidR="00130E6A" w:rsidRDefault="00130E6A" w:rsidP="00CA088B">
            <w:pPr>
              <w:ind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02.11.10г.</w:t>
            </w:r>
          </w:p>
        </w:tc>
        <w:tc>
          <w:tcPr>
            <w:tcW w:w="1512" w:type="dxa"/>
            <w:vAlign w:val="center"/>
          </w:tcPr>
          <w:p w:rsidR="00130E6A" w:rsidRDefault="00130E6A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14.12.10г.</w:t>
            </w:r>
          </w:p>
        </w:tc>
        <w:tc>
          <w:tcPr>
            <w:tcW w:w="1512" w:type="dxa"/>
          </w:tcPr>
          <w:p w:rsidR="00130E6A" w:rsidRDefault="00130E6A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</w:t>
            </w:r>
          </w:p>
        </w:tc>
      </w:tr>
      <w:tr w:rsidR="00130E6A" w:rsidRPr="000839E7" w:rsidTr="00130E6A">
        <w:tc>
          <w:tcPr>
            <w:tcW w:w="1701" w:type="dxa"/>
            <w:vAlign w:val="center"/>
          </w:tcPr>
          <w:p w:rsidR="00130E6A" w:rsidRDefault="00130E6A" w:rsidP="00CA0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АКБ «Росбанк»</w:t>
            </w:r>
          </w:p>
        </w:tc>
        <w:tc>
          <w:tcPr>
            <w:tcW w:w="1134" w:type="dxa"/>
            <w:vAlign w:val="center"/>
          </w:tcPr>
          <w:p w:rsidR="00130E6A" w:rsidRDefault="00130E6A" w:rsidP="00CA088B">
            <w:pPr>
              <w:pStyle w:val="a6"/>
              <w:tabs>
                <w:tab w:val="left" w:pos="360"/>
              </w:tabs>
              <w:jc w:val="center"/>
              <w:rPr>
                <w:rFonts w:cs="Arial"/>
                <w:bCs/>
                <w:iCs/>
                <w:noProof/>
                <w:sz w:val="18"/>
                <w:szCs w:val="18"/>
              </w:rPr>
            </w:pPr>
            <w:r>
              <w:rPr>
                <w:rFonts w:cs="Arial"/>
                <w:bCs/>
                <w:iCs/>
                <w:noProof/>
                <w:sz w:val="18"/>
                <w:szCs w:val="18"/>
              </w:rPr>
              <w:t>Руб.</w:t>
            </w:r>
          </w:p>
        </w:tc>
        <w:tc>
          <w:tcPr>
            <w:tcW w:w="1701" w:type="dxa"/>
            <w:vAlign w:val="center"/>
          </w:tcPr>
          <w:p w:rsidR="00130E6A" w:rsidRDefault="00130E6A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15 000 000</w:t>
            </w:r>
          </w:p>
        </w:tc>
        <w:tc>
          <w:tcPr>
            <w:tcW w:w="1134" w:type="dxa"/>
            <w:vAlign w:val="center"/>
          </w:tcPr>
          <w:p w:rsidR="00130E6A" w:rsidRDefault="00130E6A" w:rsidP="00CA088B">
            <w:pPr>
              <w:ind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22.12.10г.</w:t>
            </w:r>
          </w:p>
        </w:tc>
        <w:tc>
          <w:tcPr>
            <w:tcW w:w="1512" w:type="dxa"/>
            <w:vAlign w:val="center"/>
          </w:tcPr>
          <w:p w:rsidR="00130E6A" w:rsidRDefault="00130E6A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01.05.11г.</w:t>
            </w:r>
          </w:p>
        </w:tc>
        <w:tc>
          <w:tcPr>
            <w:tcW w:w="1512" w:type="dxa"/>
          </w:tcPr>
          <w:p w:rsidR="00130E6A" w:rsidRDefault="00130E6A" w:rsidP="00CA08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15 000 000</w:t>
            </w:r>
          </w:p>
        </w:tc>
      </w:tr>
    </w:tbl>
    <w:p w:rsidR="00064FEE" w:rsidRPr="00064FEE" w:rsidRDefault="00064FEE" w:rsidP="00373832">
      <w:pPr>
        <w:jc w:val="both"/>
        <w:rPr>
          <w:lang w:val="en-US"/>
        </w:rPr>
      </w:pPr>
    </w:p>
    <w:p w:rsidR="00373832" w:rsidRDefault="00373832" w:rsidP="00373832">
      <w:pPr>
        <w:jc w:val="both"/>
      </w:pPr>
      <w:r w:rsidRPr="00D520A0">
        <w:t>4.</w:t>
      </w:r>
      <w:r w:rsidRPr="00EC3FC6">
        <w:t xml:space="preserve"> </w:t>
      </w:r>
      <w:r w:rsidRPr="00D74CDC">
        <w:t>Сведения о финансово - хозяйственной деятельности   Общества</w:t>
      </w:r>
      <w:r w:rsidRPr="00D520A0">
        <w:t>.</w:t>
      </w:r>
      <w:r w:rsidRPr="005D66ED">
        <w:t xml:space="preserve"> </w:t>
      </w:r>
    </w:p>
    <w:p w:rsidR="00373832" w:rsidRPr="00D520A0" w:rsidRDefault="00373832" w:rsidP="00373832">
      <w:pPr>
        <w:jc w:val="both"/>
      </w:pPr>
      <w:r>
        <w:t xml:space="preserve">       </w:t>
      </w:r>
      <w:r w:rsidRPr="00D520A0">
        <w:t xml:space="preserve"> </w:t>
      </w:r>
    </w:p>
    <w:p w:rsidR="00373832" w:rsidRDefault="00373832" w:rsidP="00E02E3D">
      <w:pPr>
        <w:numPr>
          <w:ilvl w:val="0"/>
          <w:numId w:val="10"/>
        </w:numPr>
        <w:tabs>
          <w:tab w:val="num" w:pos="540"/>
          <w:tab w:val="left" w:pos="5954"/>
        </w:tabs>
        <w:ind w:hanging="1080"/>
      </w:pPr>
      <w:r>
        <w:t xml:space="preserve">Выручка от продажи (продукции, работ, услуг) -     </w:t>
      </w:r>
      <w:r w:rsidR="00F62A54">
        <w:t xml:space="preserve">  </w:t>
      </w:r>
      <w:r w:rsidR="00E02E3D">
        <w:t xml:space="preserve"> </w:t>
      </w:r>
      <w:r>
        <w:t xml:space="preserve">324 223 тыс. руб. </w:t>
      </w:r>
      <w:r>
        <w:rPr>
          <w:b/>
        </w:rPr>
        <w:t xml:space="preserve"> </w:t>
      </w:r>
    </w:p>
    <w:p w:rsidR="00373832" w:rsidRDefault="00373832" w:rsidP="00E02E3D">
      <w:pPr>
        <w:pStyle w:val="ConsNonformat"/>
        <w:numPr>
          <w:ilvl w:val="0"/>
          <w:numId w:val="10"/>
        </w:numPr>
        <w:tabs>
          <w:tab w:val="num" w:pos="540"/>
          <w:tab w:val="left" w:pos="5954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Валюта баланса  -                                                         </w:t>
      </w:r>
      <w:r w:rsidR="00E73C39">
        <w:rPr>
          <w:rFonts w:ascii="Times New Roman" w:hAnsi="Times New Roman"/>
          <w:sz w:val="24"/>
          <w:szCs w:val="24"/>
        </w:rPr>
        <w:t xml:space="preserve"> </w:t>
      </w:r>
      <w:r w:rsidR="00F62A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238 671 тыс. руб.</w:t>
      </w:r>
    </w:p>
    <w:p w:rsidR="00373832" w:rsidRDefault="00373832" w:rsidP="00E02E3D">
      <w:pPr>
        <w:pStyle w:val="ConsNonformat"/>
        <w:numPr>
          <w:ilvl w:val="0"/>
          <w:numId w:val="10"/>
        </w:numPr>
        <w:tabs>
          <w:tab w:val="num" w:pos="540"/>
          <w:tab w:val="left" w:pos="5954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сумма дохода  -                                                </w:t>
      </w:r>
      <w:r w:rsidR="00E73C3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329 011 тыс. руб.</w:t>
      </w:r>
    </w:p>
    <w:p w:rsidR="00373832" w:rsidRDefault="00373832" w:rsidP="00E02E3D">
      <w:pPr>
        <w:pStyle w:val="ConsNonformat"/>
        <w:numPr>
          <w:ilvl w:val="0"/>
          <w:numId w:val="10"/>
        </w:numPr>
        <w:tabs>
          <w:tab w:val="num" w:pos="540"/>
          <w:tab w:val="left" w:pos="5954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сумма расходов  -                                             </w:t>
      </w:r>
      <w:r w:rsidR="00E73C3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318 147 тыс. руб.</w:t>
      </w:r>
    </w:p>
    <w:p w:rsidR="00373832" w:rsidRDefault="00373832" w:rsidP="00E02E3D">
      <w:pPr>
        <w:pStyle w:val="ConsNonformat"/>
        <w:numPr>
          <w:ilvl w:val="0"/>
          <w:numId w:val="10"/>
        </w:numPr>
        <w:tabs>
          <w:tab w:val="num" w:pos="540"/>
          <w:tab w:val="left" w:pos="5954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Прибыль до налогообложения-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</w:t>
      </w:r>
      <w:r w:rsidR="00E73C39">
        <w:rPr>
          <w:rFonts w:ascii="Times New Roman" w:eastAsia="Arial Unicode MS" w:hAnsi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/>
          <w:sz w:val="24"/>
          <w:szCs w:val="24"/>
        </w:rPr>
        <w:t xml:space="preserve">10 864 </w:t>
      </w:r>
      <w:r>
        <w:rPr>
          <w:rFonts w:ascii="Times New Roman" w:hAnsi="Times New Roman"/>
          <w:bCs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>руб.</w:t>
      </w:r>
    </w:p>
    <w:p w:rsidR="00373832" w:rsidRDefault="00373832" w:rsidP="00E02E3D">
      <w:pPr>
        <w:pStyle w:val="ConsNonformat"/>
        <w:numPr>
          <w:ilvl w:val="0"/>
          <w:numId w:val="10"/>
        </w:numPr>
        <w:tabs>
          <w:tab w:val="num" w:pos="540"/>
          <w:tab w:val="left" w:pos="5954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Чистая прибыль  -                                                         </w:t>
      </w:r>
      <w:r w:rsidR="00E73C3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7 536 тыс. руб.        </w:t>
      </w:r>
    </w:p>
    <w:p w:rsidR="00373832" w:rsidRDefault="00373832" w:rsidP="00E02E3D">
      <w:pPr>
        <w:pStyle w:val="ConsNonformat"/>
        <w:numPr>
          <w:ilvl w:val="0"/>
          <w:numId w:val="10"/>
        </w:numPr>
        <w:tabs>
          <w:tab w:val="num" w:pos="540"/>
          <w:tab w:val="left" w:pos="5954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дебиторская задолженность  -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F62A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37 282  </w:t>
      </w:r>
      <w:r>
        <w:rPr>
          <w:rFonts w:ascii="Times New Roman" w:hAnsi="Times New Roman"/>
          <w:sz w:val="24"/>
          <w:szCs w:val="24"/>
        </w:rPr>
        <w:t>тыс. руб.</w:t>
      </w:r>
    </w:p>
    <w:p w:rsidR="00373832" w:rsidRDefault="00373832" w:rsidP="00E02E3D">
      <w:pPr>
        <w:pStyle w:val="ConsNonformat"/>
        <w:numPr>
          <w:ilvl w:val="0"/>
          <w:numId w:val="10"/>
        </w:numPr>
        <w:tabs>
          <w:tab w:val="num" w:pos="540"/>
          <w:tab w:val="left" w:pos="5954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кредиторская задолженность -                       </w:t>
      </w:r>
      <w:r w:rsidR="00F62A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122 403  тыс. руб.</w:t>
      </w:r>
    </w:p>
    <w:p w:rsidR="00373832" w:rsidRDefault="00373832" w:rsidP="00E02E3D">
      <w:pPr>
        <w:pStyle w:val="ConsNonformat"/>
        <w:numPr>
          <w:ilvl w:val="0"/>
          <w:numId w:val="10"/>
        </w:numPr>
        <w:tabs>
          <w:tab w:val="num" w:pos="540"/>
          <w:tab w:val="left" w:pos="5954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Чистые активы -                                                            </w:t>
      </w:r>
      <w:r w:rsidR="00E73C3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101 268 тыс.руб.</w:t>
      </w:r>
    </w:p>
    <w:p w:rsidR="00373832" w:rsidRPr="00D520A0" w:rsidRDefault="00373832" w:rsidP="00E02E3D">
      <w:pPr>
        <w:shd w:val="clear" w:color="auto" w:fill="FFFFFF"/>
        <w:tabs>
          <w:tab w:val="left" w:pos="5954"/>
        </w:tabs>
        <w:spacing w:line="278" w:lineRule="exact"/>
        <w:ind w:left="5" w:firstLine="710"/>
        <w:jc w:val="both"/>
      </w:pPr>
    </w:p>
    <w:p w:rsidR="00373832" w:rsidRDefault="00373832" w:rsidP="00373832">
      <w:pPr>
        <w:pStyle w:val="21"/>
        <w:ind w:right="-1" w:firstLine="720"/>
        <w:jc w:val="both"/>
        <w:rPr>
          <w:sz w:val="24"/>
        </w:rPr>
      </w:pPr>
      <w:r>
        <w:rPr>
          <w:sz w:val="24"/>
        </w:rPr>
        <w:t xml:space="preserve">Уставный капитал общества составляет 82753 тыс. рублей. Уставный капитал общества состоит из 82 753 обыкновенных акций номинальной стоимостью 1000 рублей каждая.  </w:t>
      </w:r>
    </w:p>
    <w:p w:rsidR="00373832" w:rsidRDefault="00373832" w:rsidP="00373832">
      <w:pPr>
        <w:pStyle w:val="21"/>
        <w:ind w:right="-1" w:firstLine="720"/>
        <w:jc w:val="both"/>
        <w:rPr>
          <w:sz w:val="24"/>
        </w:rPr>
      </w:pPr>
      <w:r>
        <w:rPr>
          <w:sz w:val="24"/>
        </w:rPr>
        <w:t>Резервный капитал сформирован 496 тыс.руб. на основании решения годового собрания акционеров от 29.06.10г.</w:t>
      </w:r>
    </w:p>
    <w:p w:rsidR="00373832" w:rsidRDefault="00373832" w:rsidP="00373832">
      <w:pPr>
        <w:shd w:val="clear" w:color="auto" w:fill="FFFFFF"/>
        <w:spacing w:line="278" w:lineRule="exact"/>
        <w:ind w:left="5" w:firstLine="710"/>
        <w:jc w:val="both"/>
      </w:pPr>
      <w:r>
        <w:t xml:space="preserve">Добавочный капитал по состоянию на 31.12.10г. составил 1025 тыс.рублей. Уменьшение добавочного капитала связано с тем, что основные средства, не подлежащих приватизации   списаны за счет добавочного капитала на сумму 2022 тыс.руб. на </w:t>
      </w:r>
      <w:r>
        <w:lastRenderedPageBreak/>
        <w:t xml:space="preserve">забалансовый счет. Исправления внесены в 2010 году, в связи с тем, что во вступительном балансе 21.05.2009 года не нашли отражения. </w:t>
      </w:r>
    </w:p>
    <w:p w:rsidR="00373832" w:rsidRPr="00D520A0" w:rsidRDefault="00373832" w:rsidP="00373832">
      <w:pPr>
        <w:shd w:val="clear" w:color="auto" w:fill="FFFFFF"/>
        <w:spacing w:line="278" w:lineRule="exact"/>
        <w:ind w:left="5" w:firstLine="710"/>
        <w:jc w:val="both"/>
      </w:pPr>
      <w:r w:rsidRPr="00D520A0">
        <w:t>Показатели ликвидности и финансовой устойчивости</w:t>
      </w:r>
    </w:p>
    <w:p w:rsidR="00373832" w:rsidRPr="00D520A0" w:rsidRDefault="00373832" w:rsidP="00373832">
      <w:pPr>
        <w:shd w:val="clear" w:color="auto" w:fill="FFFFFF"/>
        <w:spacing w:line="278" w:lineRule="exact"/>
        <w:ind w:left="5" w:firstLine="71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42"/>
        <w:gridCol w:w="1440"/>
        <w:gridCol w:w="1800"/>
        <w:gridCol w:w="1800"/>
      </w:tblGrid>
      <w:tr w:rsidR="00373832" w:rsidRPr="00D520A0" w:rsidTr="004772D6">
        <w:tc>
          <w:tcPr>
            <w:tcW w:w="720" w:type="dxa"/>
          </w:tcPr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№</w:t>
            </w:r>
          </w:p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п/п</w:t>
            </w:r>
          </w:p>
        </w:tc>
        <w:tc>
          <w:tcPr>
            <w:tcW w:w="3042" w:type="dxa"/>
          </w:tcPr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Наименование показателей</w:t>
            </w:r>
          </w:p>
        </w:tc>
        <w:tc>
          <w:tcPr>
            <w:tcW w:w="144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 w:rsidRPr="00D520A0">
              <w:t>2008</w:t>
            </w:r>
          </w:p>
        </w:tc>
        <w:tc>
          <w:tcPr>
            <w:tcW w:w="180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 w:rsidRPr="00D520A0">
              <w:t>2009</w:t>
            </w:r>
          </w:p>
        </w:tc>
        <w:tc>
          <w:tcPr>
            <w:tcW w:w="180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>
              <w:t>2010</w:t>
            </w:r>
          </w:p>
        </w:tc>
      </w:tr>
      <w:tr w:rsidR="00373832" w:rsidRPr="00D520A0" w:rsidTr="004772D6">
        <w:tc>
          <w:tcPr>
            <w:tcW w:w="720" w:type="dxa"/>
          </w:tcPr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1</w:t>
            </w:r>
          </w:p>
        </w:tc>
        <w:tc>
          <w:tcPr>
            <w:tcW w:w="3042" w:type="dxa"/>
          </w:tcPr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Коэффициент текущей ликвидности</w:t>
            </w:r>
          </w:p>
        </w:tc>
        <w:tc>
          <w:tcPr>
            <w:tcW w:w="144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 w:rsidRPr="00D520A0">
              <w:t>1,</w:t>
            </w:r>
            <w:r>
              <w:t>32</w:t>
            </w:r>
          </w:p>
        </w:tc>
        <w:tc>
          <w:tcPr>
            <w:tcW w:w="1800" w:type="dxa"/>
          </w:tcPr>
          <w:p w:rsidR="00373832" w:rsidRPr="00D520A0" w:rsidRDefault="00373832" w:rsidP="004772D6">
            <w:pPr>
              <w:spacing w:line="278" w:lineRule="exact"/>
              <w:ind w:left="224"/>
              <w:jc w:val="center"/>
            </w:pPr>
            <w:r w:rsidRPr="00D520A0">
              <w:t>1,3</w:t>
            </w:r>
          </w:p>
        </w:tc>
        <w:tc>
          <w:tcPr>
            <w:tcW w:w="1800" w:type="dxa"/>
          </w:tcPr>
          <w:p w:rsidR="00373832" w:rsidRPr="00D520A0" w:rsidRDefault="00373832" w:rsidP="004772D6">
            <w:pPr>
              <w:spacing w:line="278" w:lineRule="exact"/>
              <w:ind w:left="224"/>
              <w:jc w:val="center"/>
            </w:pPr>
            <w:r>
              <w:t>1,48</w:t>
            </w:r>
          </w:p>
        </w:tc>
      </w:tr>
      <w:tr w:rsidR="00373832" w:rsidRPr="00D520A0" w:rsidTr="004772D6">
        <w:tc>
          <w:tcPr>
            <w:tcW w:w="720" w:type="dxa"/>
          </w:tcPr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2</w:t>
            </w:r>
          </w:p>
        </w:tc>
        <w:tc>
          <w:tcPr>
            <w:tcW w:w="3042" w:type="dxa"/>
          </w:tcPr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Коэффициент абсолютной ликвидности</w:t>
            </w:r>
          </w:p>
        </w:tc>
        <w:tc>
          <w:tcPr>
            <w:tcW w:w="144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 w:rsidRPr="00D520A0">
              <w:t>0,02</w:t>
            </w:r>
          </w:p>
        </w:tc>
        <w:tc>
          <w:tcPr>
            <w:tcW w:w="180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 w:rsidRPr="00D520A0">
              <w:t>0,08</w:t>
            </w:r>
          </w:p>
        </w:tc>
        <w:tc>
          <w:tcPr>
            <w:tcW w:w="180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>
              <w:t>0,05</w:t>
            </w:r>
          </w:p>
        </w:tc>
      </w:tr>
      <w:tr w:rsidR="00373832" w:rsidRPr="00D520A0" w:rsidTr="004772D6">
        <w:tc>
          <w:tcPr>
            <w:tcW w:w="720" w:type="dxa"/>
          </w:tcPr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3</w:t>
            </w:r>
          </w:p>
        </w:tc>
        <w:tc>
          <w:tcPr>
            <w:tcW w:w="3042" w:type="dxa"/>
          </w:tcPr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Коэффициент обеспеченности собственными средствами</w:t>
            </w:r>
          </w:p>
        </w:tc>
        <w:tc>
          <w:tcPr>
            <w:tcW w:w="144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 w:rsidRPr="00D520A0">
              <w:t>0,27</w:t>
            </w:r>
          </w:p>
        </w:tc>
        <w:tc>
          <w:tcPr>
            <w:tcW w:w="180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 w:rsidRPr="00D520A0">
              <w:t>0,23</w:t>
            </w:r>
          </w:p>
        </w:tc>
        <w:tc>
          <w:tcPr>
            <w:tcW w:w="180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>
              <w:t>0,32</w:t>
            </w:r>
          </w:p>
        </w:tc>
      </w:tr>
      <w:tr w:rsidR="00373832" w:rsidRPr="00D520A0" w:rsidTr="004772D6">
        <w:tc>
          <w:tcPr>
            <w:tcW w:w="720" w:type="dxa"/>
          </w:tcPr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4</w:t>
            </w:r>
          </w:p>
        </w:tc>
        <w:tc>
          <w:tcPr>
            <w:tcW w:w="3042" w:type="dxa"/>
          </w:tcPr>
          <w:p w:rsidR="00373832" w:rsidRPr="00D520A0" w:rsidRDefault="00373832" w:rsidP="004772D6">
            <w:pPr>
              <w:spacing w:line="278" w:lineRule="exact"/>
              <w:jc w:val="both"/>
            </w:pPr>
            <w:r w:rsidRPr="00D520A0">
              <w:t>Коэффициент покрытия</w:t>
            </w:r>
          </w:p>
        </w:tc>
        <w:tc>
          <w:tcPr>
            <w:tcW w:w="144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 w:rsidRPr="00D520A0">
              <w:t>1,29</w:t>
            </w:r>
          </w:p>
        </w:tc>
        <w:tc>
          <w:tcPr>
            <w:tcW w:w="180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 w:rsidRPr="00D520A0">
              <w:t>1,3</w:t>
            </w:r>
          </w:p>
        </w:tc>
        <w:tc>
          <w:tcPr>
            <w:tcW w:w="1800" w:type="dxa"/>
          </w:tcPr>
          <w:p w:rsidR="00373832" w:rsidRPr="00D520A0" w:rsidRDefault="00373832" w:rsidP="004772D6">
            <w:pPr>
              <w:spacing w:line="278" w:lineRule="exact"/>
              <w:jc w:val="center"/>
            </w:pPr>
            <w:r>
              <w:t>1,47</w:t>
            </w:r>
          </w:p>
        </w:tc>
      </w:tr>
    </w:tbl>
    <w:p w:rsidR="00373832" w:rsidRDefault="00373832" w:rsidP="00373832">
      <w:pPr>
        <w:shd w:val="clear" w:color="auto" w:fill="FFFFFF"/>
        <w:spacing w:line="278" w:lineRule="exact"/>
        <w:ind w:left="5" w:firstLine="710"/>
        <w:jc w:val="both"/>
      </w:pPr>
    </w:p>
    <w:p w:rsidR="00373832" w:rsidRPr="00D520A0" w:rsidRDefault="00373832" w:rsidP="00373832">
      <w:pPr>
        <w:shd w:val="clear" w:color="auto" w:fill="FFFFFF"/>
        <w:spacing w:line="278" w:lineRule="exact"/>
        <w:ind w:left="5" w:firstLine="710"/>
        <w:jc w:val="both"/>
        <w:rPr>
          <w:color w:val="000000"/>
        </w:rPr>
      </w:pPr>
      <w:r>
        <w:t>Чистая прибыль общества за  2010 год составила 7536 тыс.</w:t>
      </w:r>
      <w:r w:rsidR="00F91203">
        <w:t xml:space="preserve"> </w:t>
      </w:r>
      <w:r>
        <w:t xml:space="preserve">руб. Чистые </w:t>
      </w:r>
      <w:r w:rsidRPr="00D520A0">
        <w:t xml:space="preserve"> активы общества по состоянию на 01.01.2010г. составляют </w:t>
      </w:r>
      <w:r>
        <w:t>101 268</w:t>
      </w:r>
      <w:r w:rsidR="00490977">
        <w:t xml:space="preserve"> тыс. руб., произошло увеличение  </w:t>
      </w:r>
      <w:r w:rsidR="00E02E3D">
        <w:t>чистых активов на 5% по сравнению с 2009 годом.</w:t>
      </w:r>
      <w:r w:rsidRPr="00D520A0">
        <w:rPr>
          <w:color w:val="000000"/>
        </w:rPr>
        <w:t xml:space="preserve"> </w:t>
      </w:r>
      <w:r w:rsidR="00E02E3D">
        <w:rPr>
          <w:color w:val="000000"/>
        </w:rPr>
        <w:t>В целом изменение структуры баланса характеризуется р</w:t>
      </w:r>
      <w:r w:rsidR="00B854A8">
        <w:rPr>
          <w:color w:val="000000"/>
        </w:rPr>
        <w:t>ост</w:t>
      </w:r>
      <w:r w:rsidR="00E02E3D">
        <w:rPr>
          <w:color w:val="000000"/>
        </w:rPr>
        <w:t xml:space="preserve">ом </w:t>
      </w:r>
      <w:r w:rsidR="00B854A8">
        <w:rPr>
          <w:color w:val="000000"/>
        </w:rPr>
        <w:t xml:space="preserve"> капитала</w:t>
      </w:r>
      <w:r w:rsidR="00E02E3D">
        <w:rPr>
          <w:color w:val="000000"/>
        </w:rPr>
        <w:t xml:space="preserve"> и резервов</w:t>
      </w:r>
      <w:r w:rsidR="00B854A8">
        <w:rPr>
          <w:color w:val="000000"/>
        </w:rPr>
        <w:t xml:space="preserve"> за счет нераспределенной прибыли.</w:t>
      </w:r>
      <w:r w:rsidR="00490977">
        <w:rPr>
          <w:color w:val="000000"/>
        </w:rPr>
        <w:t xml:space="preserve"> </w:t>
      </w:r>
      <w:r w:rsidRPr="00D520A0">
        <w:rPr>
          <w:color w:val="000000"/>
        </w:rPr>
        <w:t xml:space="preserve"> </w:t>
      </w:r>
      <w:r w:rsidR="00B854A8">
        <w:rPr>
          <w:color w:val="000000"/>
        </w:rPr>
        <w:t>У</w:t>
      </w:r>
      <w:r w:rsidRPr="00D520A0">
        <w:rPr>
          <w:color w:val="000000"/>
        </w:rPr>
        <w:t>меньшились  затраты в незавершенном производстве, у</w:t>
      </w:r>
      <w:r w:rsidR="007E1A58">
        <w:rPr>
          <w:color w:val="000000"/>
        </w:rPr>
        <w:t>меньшилась</w:t>
      </w:r>
      <w:r w:rsidRPr="00D520A0">
        <w:rPr>
          <w:color w:val="000000"/>
        </w:rPr>
        <w:t xml:space="preserve"> кредиторская </w:t>
      </w:r>
      <w:r w:rsidR="00E02E3D">
        <w:rPr>
          <w:color w:val="000000"/>
        </w:rPr>
        <w:t xml:space="preserve">и дебиторская </w:t>
      </w:r>
      <w:r w:rsidRPr="00D520A0">
        <w:rPr>
          <w:color w:val="000000"/>
        </w:rPr>
        <w:t>задолженность</w:t>
      </w:r>
      <w:r>
        <w:rPr>
          <w:color w:val="000000"/>
        </w:rPr>
        <w:t>.</w:t>
      </w:r>
    </w:p>
    <w:p w:rsidR="00373832" w:rsidRPr="00B62120" w:rsidRDefault="00373832" w:rsidP="00373832">
      <w:pPr>
        <w:jc w:val="both"/>
      </w:pPr>
      <w:r>
        <w:t xml:space="preserve">          </w:t>
      </w:r>
      <w:r w:rsidRPr="00B62120">
        <w:t>Оценка относительных показателей финансовой устойчивости свидетельствует о сохранении тенденции  к независимости предприятия от привлеченного капитала. Финансовое состояние предприятия устойчивое. Несмотря на уменьшение чистого оборотного капитала, предприятие по сравнению с 20</w:t>
      </w:r>
      <w:r>
        <w:t>09</w:t>
      </w:r>
      <w:r w:rsidRPr="00B62120">
        <w:t xml:space="preserve"> годом полностью обеспечено источниками формирования запасов и затрат. Недостатка в оборотных средства</w:t>
      </w:r>
      <w:r>
        <w:t>х нет, поэтому предприятие в 2011</w:t>
      </w:r>
      <w:r w:rsidRPr="00B62120">
        <w:t xml:space="preserve"> году вполне может обходиться без заемных средств.</w:t>
      </w:r>
      <w:r w:rsidRPr="00B62120">
        <w:rPr>
          <w:b/>
        </w:rPr>
        <w:t xml:space="preserve"> </w:t>
      </w:r>
      <w:r w:rsidRPr="00B62120">
        <w:t>Анализ ликвидности баланса выявил в целом рост ликвидности предприятия. Так  несмотря на снижение коэффициента абсолютной ликвидности  его значение остается довольно высоким, а коэффициент текущей ликвидности вырос и достиг оптимального значения, что свидетельствует о повышении финансовой устойчивости предприятия и о возможности предприятия  вовремя и без ущерба для себя расплачиваться по своим долгам.</w:t>
      </w:r>
    </w:p>
    <w:p w:rsidR="00373832" w:rsidRPr="006F56C4" w:rsidRDefault="00373832" w:rsidP="00373832">
      <w:pPr>
        <w:jc w:val="both"/>
      </w:pPr>
    </w:p>
    <w:p w:rsidR="00373832" w:rsidRDefault="00373832" w:rsidP="00373832">
      <w:pPr>
        <w:jc w:val="both"/>
      </w:pPr>
      <w:r w:rsidRPr="00D16C1C">
        <w:t>5</w:t>
      </w:r>
      <w:r>
        <w:t>. Информация о связанных сторонах.</w:t>
      </w:r>
    </w:p>
    <w:p w:rsidR="005D36C7" w:rsidRDefault="005D36C7" w:rsidP="00373832">
      <w:pPr>
        <w:jc w:val="both"/>
      </w:pPr>
    </w:p>
    <w:p w:rsidR="00373832" w:rsidRDefault="00373832" w:rsidP="00373832">
      <w:pPr>
        <w:jc w:val="both"/>
      </w:pPr>
      <w:r>
        <w:t>Состав аффилированных лиц:</w:t>
      </w:r>
    </w:p>
    <w:p w:rsidR="00373832" w:rsidRPr="00EE4969" w:rsidRDefault="00373832" w:rsidP="00373832">
      <w:pPr>
        <w:numPr>
          <w:ilvl w:val="0"/>
          <w:numId w:val="11"/>
        </w:numPr>
        <w:ind w:left="284" w:hanging="284"/>
        <w:jc w:val="both"/>
      </w:pPr>
      <w:r w:rsidRPr="00EE4969">
        <w:t>Министерств</w:t>
      </w:r>
      <w:r>
        <w:t>о</w:t>
      </w:r>
      <w:r w:rsidRPr="00EE4969">
        <w:t xml:space="preserve"> обороны Российской Федерации </w:t>
      </w:r>
      <w:r>
        <w:t>- принадлежит</w:t>
      </w:r>
      <w:r w:rsidRPr="00EE4969">
        <w:t xml:space="preserve"> 0,00121</w:t>
      </w:r>
      <w:r>
        <w:t>% обыкновенных акций;</w:t>
      </w:r>
    </w:p>
    <w:p w:rsidR="00373832" w:rsidRPr="00EE4969" w:rsidRDefault="00373832" w:rsidP="00373832">
      <w:pPr>
        <w:numPr>
          <w:ilvl w:val="0"/>
          <w:numId w:val="11"/>
        </w:numPr>
        <w:ind w:left="284" w:hanging="284"/>
        <w:jc w:val="both"/>
      </w:pPr>
      <w:r w:rsidRPr="00EE4969">
        <w:t xml:space="preserve">Открытое акционерное общество "Авиаремонт" </w:t>
      </w:r>
      <w:r>
        <w:t>- принадлежит</w:t>
      </w:r>
      <w:r w:rsidRPr="00EE4969">
        <w:t xml:space="preserve"> 99, 99879</w:t>
      </w:r>
      <w:r>
        <w:t>% обыкновенных акций;</w:t>
      </w:r>
    </w:p>
    <w:p w:rsidR="00373832" w:rsidRPr="00EE4969" w:rsidRDefault="00373832" w:rsidP="00373832">
      <w:pPr>
        <w:numPr>
          <w:ilvl w:val="0"/>
          <w:numId w:val="11"/>
        </w:numPr>
        <w:shd w:val="clear" w:color="auto" w:fill="FFFFFF"/>
        <w:spacing w:line="278" w:lineRule="exact"/>
        <w:ind w:left="284" w:hanging="284"/>
        <w:jc w:val="both"/>
        <w:rPr>
          <w:sz w:val="28"/>
          <w:szCs w:val="28"/>
        </w:rPr>
      </w:pPr>
      <w:r w:rsidRPr="008B1C32">
        <w:t>Кри</w:t>
      </w:r>
      <w:r>
        <w:t>ви</w:t>
      </w:r>
      <w:r w:rsidRPr="008B1C32">
        <w:t xml:space="preserve">ч </w:t>
      </w:r>
      <w:r>
        <w:t>Ирина</w:t>
      </w:r>
      <w:r w:rsidRPr="008B1C32">
        <w:t xml:space="preserve"> </w:t>
      </w:r>
      <w:r>
        <w:t>Генриховна</w:t>
      </w:r>
      <w:r w:rsidRPr="008B1C32">
        <w:t xml:space="preserve"> </w:t>
      </w:r>
      <w:r>
        <w:t xml:space="preserve">- </w:t>
      </w:r>
      <w:r w:rsidRPr="008B1C32">
        <w:t>председатель Совета директоров</w:t>
      </w:r>
      <w:r>
        <w:t>;</w:t>
      </w:r>
    </w:p>
    <w:p w:rsidR="00373832" w:rsidRDefault="00373832" w:rsidP="00373832">
      <w:pPr>
        <w:numPr>
          <w:ilvl w:val="0"/>
          <w:numId w:val="11"/>
        </w:numPr>
        <w:shd w:val="clear" w:color="auto" w:fill="FFFFFF"/>
        <w:spacing w:line="278" w:lineRule="exact"/>
        <w:ind w:left="284" w:hanging="284"/>
        <w:jc w:val="both"/>
      </w:pPr>
      <w:r w:rsidRPr="00DD0927">
        <w:t>Горяйнов Виктор Иванович - генеральный директор</w:t>
      </w:r>
      <w:r>
        <w:t>;</w:t>
      </w:r>
    </w:p>
    <w:p w:rsidR="00373832" w:rsidRDefault="00373832" w:rsidP="00373832">
      <w:pPr>
        <w:numPr>
          <w:ilvl w:val="0"/>
          <w:numId w:val="11"/>
        </w:numPr>
        <w:ind w:left="284" w:hanging="284"/>
      </w:pPr>
      <w:r w:rsidRPr="008B1C32">
        <w:t>Бара</w:t>
      </w:r>
      <w:r>
        <w:t>бушка</w:t>
      </w:r>
      <w:r w:rsidRPr="008B1C32">
        <w:t xml:space="preserve"> </w:t>
      </w:r>
      <w:r>
        <w:t xml:space="preserve"> Александр Сергеевич</w:t>
      </w:r>
      <w:r w:rsidRPr="008B1C32">
        <w:t xml:space="preserve"> </w:t>
      </w:r>
      <w:r>
        <w:t xml:space="preserve"> - </w:t>
      </w:r>
      <w:r w:rsidRPr="008B1C32">
        <w:t>член Совета директоров</w:t>
      </w:r>
      <w:r>
        <w:t>;</w:t>
      </w:r>
    </w:p>
    <w:p w:rsidR="00373832" w:rsidRDefault="00373832" w:rsidP="00373832">
      <w:pPr>
        <w:numPr>
          <w:ilvl w:val="0"/>
          <w:numId w:val="11"/>
        </w:numPr>
        <w:ind w:left="284" w:hanging="284"/>
      </w:pPr>
      <w:r>
        <w:t>Львов</w:t>
      </w:r>
      <w:r w:rsidRPr="00DD0927">
        <w:t xml:space="preserve"> </w:t>
      </w:r>
      <w:r>
        <w:t>Сергей Геннадьевич</w:t>
      </w:r>
      <w:r w:rsidRPr="00DD0927">
        <w:t xml:space="preserve"> </w:t>
      </w:r>
      <w:r>
        <w:t>-</w:t>
      </w:r>
      <w:r w:rsidRPr="00DD0927">
        <w:t xml:space="preserve"> член Совета директоров</w:t>
      </w:r>
      <w:r>
        <w:t>;</w:t>
      </w:r>
    </w:p>
    <w:p w:rsidR="00373832" w:rsidRDefault="00373832" w:rsidP="00373832">
      <w:pPr>
        <w:numPr>
          <w:ilvl w:val="0"/>
          <w:numId w:val="11"/>
        </w:numPr>
        <w:ind w:left="284" w:hanging="284"/>
      </w:pPr>
      <w:r>
        <w:t>Суковастова</w:t>
      </w:r>
      <w:r w:rsidRPr="00DD0927">
        <w:t xml:space="preserve"> </w:t>
      </w:r>
      <w:r>
        <w:t>Светлана</w:t>
      </w:r>
      <w:r w:rsidRPr="00DD0927">
        <w:t xml:space="preserve"> </w:t>
      </w:r>
      <w:r>
        <w:t>Николаевна</w:t>
      </w:r>
      <w:r w:rsidRPr="00DD0927">
        <w:t xml:space="preserve"> </w:t>
      </w:r>
      <w:r>
        <w:t>-</w:t>
      </w:r>
      <w:r w:rsidRPr="00DD0927">
        <w:t xml:space="preserve"> член Совета директоров</w:t>
      </w:r>
      <w:r>
        <w:t>;</w:t>
      </w:r>
    </w:p>
    <w:p w:rsidR="00373832" w:rsidRDefault="00373832" w:rsidP="00373832">
      <w:pPr>
        <w:numPr>
          <w:ilvl w:val="0"/>
          <w:numId w:val="11"/>
        </w:numPr>
        <w:ind w:left="284" w:hanging="284"/>
      </w:pPr>
      <w:r>
        <w:t>Шакирова Капитолина Сафовна</w:t>
      </w:r>
      <w:r w:rsidRPr="008B1C32">
        <w:t xml:space="preserve"> </w:t>
      </w:r>
      <w:r>
        <w:t>-</w:t>
      </w:r>
      <w:r w:rsidRPr="00DD0927">
        <w:t xml:space="preserve"> член Совета директоров</w:t>
      </w:r>
      <w:r>
        <w:t>.</w:t>
      </w:r>
    </w:p>
    <w:p w:rsidR="00373832" w:rsidRDefault="00373832" w:rsidP="00373832">
      <w:pPr>
        <w:jc w:val="both"/>
      </w:pPr>
      <w:r>
        <w:t xml:space="preserve">           В 2010 году заключен государственный контракт   с МО РФ  на выполнение работ по капитальному ремонту ВВТ на сумму 95 848 тыс.</w:t>
      </w:r>
      <w:r w:rsidR="00077A52" w:rsidRPr="00077A52">
        <w:t xml:space="preserve"> </w:t>
      </w:r>
      <w:r>
        <w:t>руб., с ОАО «Авиаремонт» -  договор поручительства по выполнению обязательств  перед МО РФ.</w:t>
      </w:r>
    </w:p>
    <w:p w:rsidR="00373832" w:rsidRDefault="00373832" w:rsidP="00373832">
      <w:pPr>
        <w:jc w:val="both"/>
      </w:pPr>
    </w:p>
    <w:p w:rsidR="00373832" w:rsidRPr="00D520A0" w:rsidRDefault="00373832" w:rsidP="00373832">
      <w:pPr>
        <w:shd w:val="clear" w:color="auto" w:fill="FFFFFF"/>
        <w:spacing w:line="278" w:lineRule="exact"/>
        <w:jc w:val="both"/>
        <w:rPr>
          <w:color w:val="000000"/>
        </w:rPr>
      </w:pPr>
      <w:r>
        <w:rPr>
          <w:color w:val="000000"/>
        </w:rPr>
        <w:t>6</w:t>
      </w:r>
      <w:r w:rsidRPr="00D520A0">
        <w:rPr>
          <w:color w:val="000000"/>
        </w:rPr>
        <w:t>. События после отчетной даты.</w:t>
      </w:r>
    </w:p>
    <w:p w:rsidR="005D36C7" w:rsidRDefault="00373832" w:rsidP="00373832">
      <w:pPr>
        <w:shd w:val="clear" w:color="auto" w:fill="FFFFFF"/>
        <w:spacing w:line="278" w:lineRule="exact"/>
        <w:jc w:val="both"/>
        <w:rPr>
          <w:color w:val="000000"/>
        </w:rPr>
      </w:pPr>
      <w:r w:rsidRPr="00D520A0">
        <w:rPr>
          <w:color w:val="000000"/>
        </w:rPr>
        <w:t xml:space="preserve">        </w:t>
      </w:r>
    </w:p>
    <w:p w:rsidR="00373832" w:rsidRPr="00D520A0" w:rsidRDefault="005D36C7" w:rsidP="00373832">
      <w:pPr>
        <w:shd w:val="clear" w:color="auto" w:fill="FFFFFF"/>
        <w:spacing w:line="278" w:lineRule="exact"/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373832" w:rsidRPr="00D520A0">
        <w:rPr>
          <w:color w:val="000000"/>
        </w:rPr>
        <w:t xml:space="preserve">  </w:t>
      </w:r>
      <w:r w:rsidR="00077A52">
        <w:rPr>
          <w:color w:val="000000"/>
        </w:rPr>
        <w:t xml:space="preserve">  </w:t>
      </w:r>
      <w:r w:rsidR="00373832" w:rsidRPr="00D520A0">
        <w:rPr>
          <w:color w:val="000000"/>
        </w:rPr>
        <w:t xml:space="preserve">В </w:t>
      </w:r>
      <w:r w:rsidR="00373832">
        <w:rPr>
          <w:color w:val="000000"/>
        </w:rPr>
        <w:t>Высшем арбитражном</w:t>
      </w:r>
      <w:r w:rsidR="00373832" w:rsidRPr="00D520A0">
        <w:rPr>
          <w:color w:val="000000"/>
        </w:rPr>
        <w:t xml:space="preserve">  суде г.</w:t>
      </w:r>
      <w:r w:rsidR="00373832">
        <w:rPr>
          <w:color w:val="000000"/>
        </w:rPr>
        <w:t xml:space="preserve"> Москва</w:t>
      </w:r>
      <w:r w:rsidR="00373832" w:rsidRPr="00D520A0">
        <w:rPr>
          <w:color w:val="000000"/>
        </w:rPr>
        <w:t xml:space="preserve"> находится на рассмотрении иск по   делу о взыскании задолженности с 2</w:t>
      </w:r>
      <w:r w:rsidR="00373832">
        <w:rPr>
          <w:color w:val="000000"/>
        </w:rPr>
        <w:t xml:space="preserve"> Читинской</w:t>
      </w:r>
      <w:r w:rsidR="00373832" w:rsidRPr="00D520A0">
        <w:rPr>
          <w:color w:val="000000"/>
        </w:rPr>
        <w:t xml:space="preserve">  КЭЧ  района в размере </w:t>
      </w:r>
      <w:r w:rsidR="00373832">
        <w:rPr>
          <w:color w:val="000000"/>
        </w:rPr>
        <w:t>3266</w:t>
      </w:r>
      <w:r w:rsidR="00373832" w:rsidRPr="00D520A0">
        <w:rPr>
          <w:color w:val="000000"/>
        </w:rPr>
        <w:t xml:space="preserve"> тыс.руб. за обслуживание оборудования по производству коммунальных ресурсов. Вероятность положительного судебного решения Общество оценивает как высокую</w:t>
      </w:r>
      <w:r w:rsidR="00373832">
        <w:rPr>
          <w:color w:val="000000"/>
        </w:rPr>
        <w:t>.</w:t>
      </w:r>
    </w:p>
    <w:p w:rsidR="00373832" w:rsidRDefault="00373832" w:rsidP="00373832"/>
    <w:p w:rsidR="00373832" w:rsidRDefault="00373832" w:rsidP="00373832"/>
    <w:p w:rsidR="00373832" w:rsidRPr="00D520A0" w:rsidRDefault="00373832" w:rsidP="00373832">
      <w:r>
        <w:t>Г</w:t>
      </w:r>
      <w:r w:rsidRPr="00D520A0">
        <w:t>енеральн</w:t>
      </w:r>
      <w:r>
        <w:t>ый</w:t>
      </w:r>
      <w:r w:rsidRPr="00D520A0">
        <w:t xml:space="preserve"> директор </w:t>
      </w:r>
    </w:p>
    <w:p w:rsidR="00373832" w:rsidRPr="00D520A0" w:rsidRDefault="00373832" w:rsidP="00373832">
      <w:r w:rsidRPr="00D520A0">
        <w:t xml:space="preserve"> ОАО «1019 ВРЗ»                                                               </w:t>
      </w:r>
      <w:r w:rsidR="00077A52">
        <w:t xml:space="preserve">            </w:t>
      </w:r>
      <w:r w:rsidRPr="00D520A0">
        <w:t xml:space="preserve">         </w:t>
      </w:r>
      <w:r>
        <w:t>В.И. Горяйнов</w:t>
      </w:r>
      <w:r w:rsidRPr="00D520A0">
        <w:t xml:space="preserve"> </w:t>
      </w:r>
    </w:p>
    <w:p w:rsidR="00373832" w:rsidRPr="00D520A0" w:rsidRDefault="00373832" w:rsidP="00373832">
      <w:r w:rsidRPr="00D520A0">
        <w:t xml:space="preserve">                  </w:t>
      </w:r>
    </w:p>
    <w:p w:rsidR="00373832" w:rsidRPr="00800396" w:rsidRDefault="00373832" w:rsidP="00373832">
      <w:r w:rsidRPr="00D520A0">
        <w:t xml:space="preserve">Главный бухгалтер                                                                  </w:t>
      </w:r>
      <w:r w:rsidR="00077A52">
        <w:t xml:space="preserve">           </w:t>
      </w:r>
      <w:r w:rsidRPr="00D520A0">
        <w:t xml:space="preserve">    Т.Г.  Такунова       </w:t>
      </w:r>
    </w:p>
    <w:p w:rsidR="000366CA" w:rsidRPr="00373832" w:rsidRDefault="000366CA" w:rsidP="00373832"/>
    <w:sectPr w:rsidR="000366CA" w:rsidRPr="00373832" w:rsidSect="00CD59DB">
      <w:headerReference w:type="default" r:id="rId7"/>
      <w:footerReference w:type="even" r:id="rId8"/>
      <w:footerReference w:type="default" r:id="rId9"/>
      <w:pgSz w:w="11906" w:h="16838" w:code="9"/>
      <w:pgMar w:top="843" w:right="851" w:bottom="899" w:left="1701" w:header="360" w:footer="3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0C" w:rsidRDefault="00FE180C">
      <w:r>
        <w:separator/>
      </w:r>
    </w:p>
  </w:endnote>
  <w:endnote w:type="continuationSeparator" w:id="1">
    <w:p w:rsidR="00FE180C" w:rsidRDefault="00FE1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17" w:rsidRDefault="003C7D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1A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A17" w:rsidRDefault="00391A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17" w:rsidRDefault="003C7DD3">
    <w:pPr>
      <w:pStyle w:val="a4"/>
      <w:framePr w:w="85" w:h="178" w:hRule="exact" w:wrap="around" w:vAnchor="text" w:hAnchor="page" w:x="10882" w:y="149"/>
      <w:rPr>
        <w:rStyle w:val="a5"/>
        <w:sz w:val="20"/>
        <w:szCs w:val="20"/>
      </w:rPr>
    </w:pPr>
    <w:r>
      <w:rPr>
        <w:rStyle w:val="a5"/>
        <w:sz w:val="20"/>
        <w:szCs w:val="20"/>
      </w:rPr>
      <w:fldChar w:fldCharType="begin"/>
    </w:r>
    <w:r w:rsidR="00391A17">
      <w:rPr>
        <w:rStyle w:val="a5"/>
        <w:sz w:val="20"/>
        <w:szCs w:val="20"/>
      </w:rPr>
      <w:instrText xml:space="preserve">PAGE  </w:instrText>
    </w:r>
    <w:r>
      <w:rPr>
        <w:rStyle w:val="a5"/>
        <w:sz w:val="20"/>
        <w:szCs w:val="20"/>
      </w:rPr>
      <w:fldChar w:fldCharType="separate"/>
    </w:r>
    <w:r w:rsidR="00777F18">
      <w:rPr>
        <w:rStyle w:val="a5"/>
        <w:noProof/>
        <w:sz w:val="20"/>
        <w:szCs w:val="20"/>
      </w:rPr>
      <w:t>1</w:t>
    </w:r>
    <w:r>
      <w:rPr>
        <w:rStyle w:val="a5"/>
        <w:sz w:val="20"/>
        <w:szCs w:val="20"/>
      </w:rPr>
      <w:fldChar w:fldCharType="end"/>
    </w:r>
  </w:p>
  <w:p w:rsidR="00373832" w:rsidRDefault="00391A17" w:rsidP="00373832">
    <w:pPr>
      <w:pStyle w:val="1"/>
      <w:pBdr>
        <w:top w:val="thinThickSmallGap" w:sz="12" w:space="0" w:color="auto"/>
      </w:pBdr>
      <w:ind w:right="-185" w:hanging="360"/>
      <w:rPr>
        <w:sz w:val="16"/>
        <w:szCs w:val="16"/>
      </w:rPr>
    </w:pPr>
    <w:r>
      <w:rPr>
        <w:b w:val="0"/>
        <w:bCs/>
        <w:sz w:val="10"/>
      </w:rPr>
      <w:br/>
    </w:r>
    <w:r w:rsidR="00373832" w:rsidRPr="00373832">
      <w:rPr>
        <w:sz w:val="16"/>
        <w:szCs w:val="16"/>
      </w:rPr>
      <w:t>Пояснительная записка к  бухгалтерско</w:t>
    </w:r>
    <w:r w:rsidR="00373832">
      <w:rPr>
        <w:sz w:val="16"/>
        <w:szCs w:val="16"/>
      </w:rPr>
      <w:t>му балансу</w:t>
    </w:r>
  </w:p>
  <w:p w:rsidR="00391A17" w:rsidRPr="00373832" w:rsidRDefault="00373832" w:rsidP="00373832">
    <w:pPr>
      <w:pStyle w:val="1"/>
      <w:pBdr>
        <w:top w:val="thinThickSmallGap" w:sz="12" w:space="0" w:color="auto"/>
      </w:pBdr>
      <w:ind w:right="-185" w:hanging="360"/>
      <w:rPr>
        <w:sz w:val="16"/>
        <w:szCs w:val="16"/>
      </w:rPr>
    </w:pPr>
    <w:r>
      <w:rPr>
        <w:sz w:val="16"/>
        <w:szCs w:val="16"/>
      </w:rPr>
      <w:t>ОАО «1019 ВРЗ»</w:t>
    </w:r>
    <w:r w:rsidRPr="00373832">
      <w:rPr>
        <w:sz w:val="16"/>
        <w:szCs w:val="16"/>
      </w:rPr>
      <w:t xml:space="preserve"> за 2010 год.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0C" w:rsidRDefault="00FE180C">
      <w:r>
        <w:separator/>
      </w:r>
    </w:p>
  </w:footnote>
  <w:footnote w:type="continuationSeparator" w:id="1">
    <w:p w:rsidR="00FE180C" w:rsidRDefault="00FE1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17" w:rsidRPr="00077A52" w:rsidRDefault="00077A52" w:rsidP="00700174">
    <w:pPr>
      <w:pStyle w:val="a6"/>
      <w:pBdr>
        <w:bottom w:val="thickThinSmallGap" w:sz="12" w:space="1" w:color="auto"/>
      </w:pBdr>
      <w:tabs>
        <w:tab w:val="clear" w:pos="4677"/>
        <w:tab w:val="clear" w:pos="9355"/>
        <w:tab w:val="center" w:pos="540"/>
        <w:tab w:val="right" w:pos="9540"/>
      </w:tabs>
      <w:ind w:right="-185" w:hanging="360"/>
      <w:jc w:val="center"/>
      <w:rPr>
        <w:b/>
        <w:bCs/>
        <w:sz w:val="2"/>
      </w:rPr>
    </w:pPr>
    <w:r>
      <w:rPr>
        <w:b/>
        <w:bCs/>
        <w:sz w:val="16"/>
      </w:rPr>
      <w:t>ОТКРЫТОЕ АКЦИОНЕРНОЕ ОБЩЕСТВО «1019 ВОЕННЫЙ РЕМОНТНЫЙ ЗАВОД»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07A1"/>
    <w:multiLevelType w:val="hybridMultilevel"/>
    <w:tmpl w:val="C360AC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661FF"/>
    <w:multiLevelType w:val="hybridMultilevel"/>
    <w:tmpl w:val="A19C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726E"/>
    <w:multiLevelType w:val="hybridMultilevel"/>
    <w:tmpl w:val="CAC0DAA8"/>
    <w:lvl w:ilvl="0" w:tplc="3AC04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07E72"/>
    <w:multiLevelType w:val="hybridMultilevel"/>
    <w:tmpl w:val="67CC9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F7607"/>
    <w:multiLevelType w:val="hybridMultilevel"/>
    <w:tmpl w:val="D3B663B0"/>
    <w:lvl w:ilvl="0" w:tplc="CE58C0D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A022C0"/>
    <w:multiLevelType w:val="hybridMultilevel"/>
    <w:tmpl w:val="AEA21B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0A5CB3"/>
    <w:multiLevelType w:val="hybridMultilevel"/>
    <w:tmpl w:val="08DAF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B770CF"/>
    <w:multiLevelType w:val="hybridMultilevel"/>
    <w:tmpl w:val="67CC9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912F1"/>
    <w:multiLevelType w:val="hybridMultilevel"/>
    <w:tmpl w:val="C1FC80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7182B8A"/>
    <w:multiLevelType w:val="hybridMultilevel"/>
    <w:tmpl w:val="67F2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650E4"/>
    <w:multiLevelType w:val="hybridMultilevel"/>
    <w:tmpl w:val="F8DCD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C3281"/>
    <w:rsid w:val="00003CE6"/>
    <w:rsid w:val="00012F19"/>
    <w:rsid w:val="00034846"/>
    <w:rsid w:val="000366CA"/>
    <w:rsid w:val="000622A5"/>
    <w:rsid w:val="00064FEE"/>
    <w:rsid w:val="00067B1B"/>
    <w:rsid w:val="00077A52"/>
    <w:rsid w:val="000825E7"/>
    <w:rsid w:val="000829AF"/>
    <w:rsid w:val="00087F90"/>
    <w:rsid w:val="000A1EE7"/>
    <w:rsid w:val="000C31CD"/>
    <w:rsid w:val="000C4435"/>
    <w:rsid w:val="000D6E0E"/>
    <w:rsid w:val="000E21A4"/>
    <w:rsid w:val="000E3E07"/>
    <w:rsid w:val="000E4482"/>
    <w:rsid w:val="000F063D"/>
    <w:rsid w:val="00113814"/>
    <w:rsid w:val="00116D2E"/>
    <w:rsid w:val="001304E9"/>
    <w:rsid w:val="00130E6A"/>
    <w:rsid w:val="00132DAB"/>
    <w:rsid w:val="001526DE"/>
    <w:rsid w:val="001717EA"/>
    <w:rsid w:val="00172F1A"/>
    <w:rsid w:val="001A1FBA"/>
    <w:rsid w:val="001C3281"/>
    <w:rsid w:val="001D30B8"/>
    <w:rsid w:val="001E1CA0"/>
    <w:rsid w:val="00221B24"/>
    <w:rsid w:val="00225AD0"/>
    <w:rsid w:val="00247BA6"/>
    <w:rsid w:val="00251BCE"/>
    <w:rsid w:val="002549EE"/>
    <w:rsid w:val="0025783F"/>
    <w:rsid w:val="00261CE9"/>
    <w:rsid w:val="00297D24"/>
    <w:rsid w:val="002A7384"/>
    <w:rsid w:val="002B6D4A"/>
    <w:rsid w:val="002B7E4E"/>
    <w:rsid w:val="002D7F2B"/>
    <w:rsid w:val="002E48CE"/>
    <w:rsid w:val="002F0BAA"/>
    <w:rsid w:val="00313EA8"/>
    <w:rsid w:val="003241E5"/>
    <w:rsid w:val="00335D52"/>
    <w:rsid w:val="003547B6"/>
    <w:rsid w:val="00373832"/>
    <w:rsid w:val="00387822"/>
    <w:rsid w:val="00391A17"/>
    <w:rsid w:val="00394677"/>
    <w:rsid w:val="00397097"/>
    <w:rsid w:val="003A357B"/>
    <w:rsid w:val="003B10DF"/>
    <w:rsid w:val="003B3554"/>
    <w:rsid w:val="003B5DD3"/>
    <w:rsid w:val="003C7DD3"/>
    <w:rsid w:val="003D11E1"/>
    <w:rsid w:val="003E7055"/>
    <w:rsid w:val="003F27EC"/>
    <w:rsid w:val="00406E66"/>
    <w:rsid w:val="00413DBB"/>
    <w:rsid w:val="0042596E"/>
    <w:rsid w:val="00435F67"/>
    <w:rsid w:val="00443F3F"/>
    <w:rsid w:val="00446DD5"/>
    <w:rsid w:val="0046024C"/>
    <w:rsid w:val="00462B89"/>
    <w:rsid w:val="004659E7"/>
    <w:rsid w:val="004731B9"/>
    <w:rsid w:val="00474FB7"/>
    <w:rsid w:val="004772D6"/>
    <w:rsid w:val="00490977"/>
    <w:rsid w:val="004A3417"/>
    <w:rsid w:val="004B375C"/>
    <w:rsid w:val="004B3CE0"/>
    <w:rsid w:val="004C24CD"/>
    <w:rsid w:val="004D2981"/>
    <w:rsid w:val="004D42CF"/>
    <w:rsid w:val="005112AE"/>
    <w:rsid w:val="00521B66"/>
    <w:rsid w:val="00530AE5"/>
    <w:rsid w:val="00543D94"/>
    <w:rsid w:val="005B1B0A"/>
    <w:rsid w:val="005C0AF8"/>
    <w:rsid w:val="005C1E3A"/>
    <w:rsid w:val="005D36C7"/>
    <w:rsid w:val="0061324F"/>
    <w:rsid w:val="00636031"/>
    <w:rsid w:val="0065356F"/>
    <w:rsid w:val="006627DD"/>
    <w:rsid w:val="00666866"/>
    <w:rsid w:val="00692382"/>
    <w:rsid w:val="006A37AD"/>
    <w:rsid w:val="006D6311"/>
    <w:rsid w:val="00700174"/>
    <w:rsid w:val="00747E2E"/>
    <w:rsid w:val="00755A0B"/>
    <w:rsid w:val="00761673"/>
    <w:rsid w:val="00777F18"/>
    <w:rsid w:val="007844B9"/>
    <w:rsid w:val="00796B1F"/>
    <w:rsid w:val="007B6397"/>
    <w:rsid w:val="007C63B2"/>
    <w:rsid w:val="007E1A58"/>
    <w:rsid w:val="007E1C6C"/>
    <w:rsid w:val="007F0A8B"/>
    <w:rsid w:val="008266DA"/>
    <w:rsid w:val="00826FF4"/>
    <w:rsid w:val="00842E7C"/>
    <w:rsid w:val="00844A7A"/>
    <w:rsid w:val="00862EE0"/>
    <w:rsid w:val="00883DAA"/>
    <w:rsid w:val="008970F9"/>
    <w:rsid w:val="008B2EB5"/>
    <w:rsid w:val="008C02C4"/>
    <w:rsid w:val="008C7757"/>
    <w:rsid w:val="008E3401"/>
    <w:rsid w:val="008E4FB3"/>
    <w:rsid w:val="009050B8"/>
    <w:rsid w:val="009116D9"/>
    <w:rsid w:val="00916110"/>
    <w:rsid w:val="00916EC4"/>
    <w:rsid w:val="00926632"/>
    <w:rsid w:val="00942CC2"/>
    <w:rsid w:val="00943455"/>
    <w:rsid w:val="0096579A"/>
    <w:rsid w:val="00972658"/>
    <w:rsid w:val="00973379"/>
    <w:rsid w:val="009A2E58"/>
    <w:rsid w:val="009A641A"/>
    <w:rsid w:val="009B0882"/>
    <w:rsid w:val="009B110E"/>
    <w:rsid w:val="009B1341"/>
    <w:rsid w:val="009C4E2D"/>
    <w:rsid w:val="009C6ECA"/>
    <w:rsid w:val="009C7061"/>
    <w:rsid w:val="009D5D73"/>
    <w:rsid w:val="009E620A"/>
    <w:rsid w:val="009F70CD"/>
    <w:rsid w:val="009F77D2"/>
    <w:rsid w:val="00A0207E"/>
    <w:rsid w:val="00A03D32"/>
    <w:rsid w:val="00A07B95"/>
    <w:rsid w:val="00A2204D"/>
    <w:rsid w:val="00A32822"/>
    <w:rsid w:val="00A35069"/>
    <w:rsid w:val="00A46072"/>
    <w:rsid w:val="00A550A0"/>
    <w:rsid w:val="00A66A7E"/>
    <w:rsid w:val="00A81444"/>
    <w:rsid w:val="00A81E3E"/>
    <w:rsid w:val="00A93043"/>
    <w:rsid w:val="00A95410"/>
    <w:rsid w:val="00A9772D"/>
    <w:rsid w:val="00AB12B9"/>
    <w:rsid w:val="00AC0BEE"/>
    <w:rsid w:val="00AE3CA5"/>
    <w:rsid w:val="00AF3784"/>
    <w:rsid w:val="00AF74F6"/>
    <w:rsid w:val="00AF7896"/>
    <w:rsid w:val="00B16A53"/>
    <w:rsid w:val="00B27407"/>
    <w:rsid w:val="00B40B21"/>
    <w:rsid w:val="00B40B9E"/>
    <w:rsid w:val="00B42355"/>
    <w:rsid w:val="00B45117"/>
    <w:rsid w:val="00B854A8"/>
    <w:rsid w:val="00BA0B08"/>
    <w:rsid w:val="00BE5447"/>
    <w:rsid w:val="00BE583C"/>
    <w:rsid w:val="00BF0167"/>
    <w:rsid w:val="00C10A08"/>
    <w:rsid w:val="00C1334C"/>
    <w:rsid w:val="00C23B04"/>
    <w:rsid w:val="00C53B3B"/>
    <w:rsid w:val="00C65077"/>
    <w:rsid w:val="00C71998"/>
    <w:rsid w:val="00C74FD6"/>
    <w:rsid w:val="00C80ECC"/>
    <w:rsid w:val="00C835DD"/>
    <w:rsid w:val="00C92034"/>
    <w:rsid w:val="00CA15FC"/>
    <w:rsid w:val="00CD3E5B"/>
    <w:rsid w:val="00CD59DB"/>
    <w:rsid w:val="00CE3680"/>
    <w:rsid w:val="00CF53EA"/>
    <w:rsid w:val="00D0645B"/>
    <w:rsid w:val="00D72E71"/>
    <w:rsid w:val="00D80A41"/>
    <w:rsid w:val="00D81CE4"/>
    <w:rsid w:val="00D858B1"/>
    <w:rsid w:val="00DA6E06"/>
    <w:rsid w:val="00DB1A32"/>
    <w:rsid w:val="00DC1159"/>
    <w:rsid w:val="00DC2CF6"/>
    <w:rsid w:val="00DD4C3B"/>
    <w:rsid w:val="00DE57C1"/>
    <w:rsid w:val="00E01C36"/>
    <w:rsid w:val="00E02E3D"/>
    <w:rsid w:val="00E243D6"/>
    <w:rsid w:val="00E2631C"/>
    <w:rsid w:val="00E40E4D"/>
    <w:rsid w:val="00E478BC"/>
    <w:rsid w:val="00E56C01"/>
    <w:rsid w:val="00E575A9"/>
    <w:rsid w:val="00E65DB7"/>
    <w:rsid w:val="00E71949"/>
    <w:rsid w:val="00E73C39"/>
    <w:rsid w:val="00E843B2"/>
    <w:rsid w:val="00E84F47"/>
    <w:rsid w:val="00E929D2"/>
    <w:rsid w:val="00E968B5"/>
    <w:rsid w:val="00E96988"/>
    <w:rsid w:val="00EB0114"/>
    <w:rsid w:val="00ED0F7C"/>
    <w:rsid w:val="00EE6D92"/>
    <w:rsid w:val="00EF7702"/>
    <w:rsid w:val="00F14DB7"/>
    <w:rsid w:val="00F152DB"/>
    <w:rsid w:val="00F34F9E"/>
    <w:rsid w:val="00F4171C"/>
    <w:rsid w:val="00F429FD"/>
    <w:rsid w:val="00F43244"/>
    <w:rsid w:val="00F51C57"/>
    <w:rsid w:val="00F62A54"/>
    <w:rsid w:val="00F72AB8"/>
    <w:rsid w:val="00F72B4F"/>
    <w:rsid w:val="00F81C4A"/>
    <w:rsid w:val="00F83233"/>
    <w:rsid w:val="00F901BD"/>
    <w:rsid w:val="00F91203"/>
    <w:rsid w:val="00F94147"/>
    <w:rsid w:val="00F96B01"/>
    <w:rsid w:val="00FB0A35"/>
    <w:rsid w:val="00FD13A1"/>
    <w:rsid w:val="00FE180C"/>
    <w:rsid w:val="00FE59B7"/>
    <w:rsid w:val="00FF0809"/>
    <w:rsid w:val="00FF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9DB"/>
    <w:rPr>
      <w:sz w:val="24"/>
      <w:szCs w:val="24"/>
    </w:rPr>
  </w:style>
  <w:style w:type="paragraph" w:styleId="1">
    <w:name w:val="heading 1"/>
    <w:basedOn w:val="a"/>
    <w:next w:val="a"/>
    <w:qFormat/>
    <w:rsid w:val="00CD59DB"/>
    <w:pPr>
      <w:keepNext/>
      <w:ind w:firstLine="1134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CD59DB"/>
    <w:pPr>
      <w:keepNext/>
      <w:jc w:val="both"/>
      <w:outlineLvl w:val="1"/>
    </w:pPr>
    <w:rPr>
      <w:b/>
      <w:i/>
      <w:sz w:val="22"/>
      <w:u w:val="single"/>
    </w:rPr>
  </w:style>
  <w:style w:type="paragraph" w:styleId="3">
    <w:name w:val="heading 3"/>
    <w:basedOn w:val="a"/>
    <w:next w:val="a"/>
    <w:qFormat/>
    <w:rsid w:val="00CD59DB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CD59DB"/>
    <w:pPr>
      <w:keepNext/>
      <w:jc w:val="center"/>
      <w:outlineLvl w:val="3"/>
    </w:pPr>
    <w:rPr>
      <w:rFonts w:ascii="Arial" w:hAnsi="Arial"/>
      <w:b/>
      <w:bCs/>
      <w:szCs w:val="20"/>
    </w:rPr>
  </w:style>
  <w:style w:type="paragraph" w:styleId="5">
    <w:name w:val="heading 5"/>
    <w:basedOn w:val="a"/>
    <w:next w:val="a"/>
    <w:qFormat/>
    <w:rsid w:val="00CD59D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D59DB"/>
    <w:pPr>
      <w:keepNext/>
      <w:jc w:val="center"/>
      <w:outlineLvl w:val="5"/>
    </w:pPr>
    <w:rPr>
      <w:b/>
      <w:bCs/>
      <w:sz w:val="14"/>
      <w:szCs w:val="20"/>
    </w:rPr>
  </w:style>
  <w:style w:type="paragraph" w:styleId="7">
    <w:name w:val="heading 7"/>
    <w:basedOn w:val="a"/>
    <w:next w:val="a"/>
    <w:qFormat/>
    <w:rsid w:val="00CD59DB"/>
    <w:pPr>
      <w:keepNext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59DB"/>
    <w:pPr>
      <w:ind w:firstLine="1134"/>
      <w:jc w:val="center"/>
    </w:pPr>
    <w:rPr>
      <w:szCs w:val="20"/>
    </w:rPr>
  </w:style>
  <w:style w:type="paragraph" w:styleId="20">
    <w:name w:val="Body Text Indent 2"/>
    <w:basedOn w:val="a"/>
    <w:rsid w:val="00CD59DB"/>
    <w:pPr>
      <w:ind w:firstLine="1134"/>
    </w:pPr>
    <w:rPr>
      <w:szCs w:val="20"/>
    </w:rPr>
  </w:style>
  <w:style w:type="paragraph" w:styleId="30">
    <w:name w:val="Body Text 3"/>
    <w:basedOn w:val="a"/>
    <w:rsid w:val="00CD59DB"/>
    <w:pPr>
      <w:jc w:val="both"/>
    </w:pPr>
    <w:rPr>
      <w:b/>
      <w:i/>
      <w:sz w:val="22"/>
      <w:szCs w:val="20"/>
    </w:rPr>
  </w:style>
  <w:style w:type="paragraph" w:styleId="31">
    <w:name w:val="Body Text Indent 3"/>
    <w:basedOn w:val="a"/>
    <w:rsid w:val="00CD59DB"/>
    <w:pPr>
      <w:ind w:firstLine="567"/>
      <w:jc w:val="both"/>
    </w:pPr>
    <w:rPr>
      <w:bCs/>
      <w:iCs/>
      <w:sz w:val="22"/>
    </w:rPr>
  </w:style>
  <w:style w:type="paragraph" w:styleId="a4">
    <w:name w:val="footer"/>
    <w:basedOn w:val="a"/>
    <w:rsid w:val="00CD59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59DB"/>
  </w:style>
  <w:style w:type="paragraph" w:styleId="a6">
    <w:name w:val="header"/>
    <w:basedOn w:val="a"/>
    <w:link w:val="a7"/>
    <w:rsid w:val="00CD59DB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CD59DB"/>
    <w:pPr>
      <w:jc w:val="both"/>
    </w:pPr>
    <w:rPr>
      <w:b/>
      <w:sz w:val="22"/>
    </w:rPr>
  </w:style>
  <w:style w:type="paragraph" w:styleId="21">
    <w:name w:val="Body Text 2"/>
    <w:basedOn w:val="a"/>
    <w:rsid w:val="00CD59DB"/>
    <w:pPr>
      <w:jc w:val="center"/>
    </w:pPr>
    <w:rPr>
      <w:sz w:val="22"/>
    </w:rPr>
  </w:style>
  <w:style w:type="paragraph" w:customStyle="1" w:styleId="210">
    <w:name w:val="Основной текст 21"/>
    <w:basedOn w:val="a"/>
    <w:rsid w:val="00CD59DB"/>
    <w:pPr>
      <w:jc w:val="both"/>
    </w:pPr>
    <w:rPr>
      <w:rFonts w:ascii="Times New Roman CYR" w:hAnsi="Times New Roman CYR"/>
      <w:i/>
      <w:color w:val="FF0000"/>
      <w:szCs w:val="20"/>
    </w:rPr>
  </w:style>
  <w:style w:type="paragraph" w:customStyle="1" w:styleId="211">
    <w:name w:val="Основной текст с отступом 21"/>
    <w:basedOn w:val="a"/>
    <w:rsid w:val="00CD59DB"/>
    <w:pPr>
      <w:ind w:firstLine="283"/>
      <w:jc w:val="both"/>
    </w:pPr>
    <w:rPr>
      <w:szCs w:val="20"/>
    </w:rPr>
  </w:style>
  <w:style w:type="paragraph" w:customStyle="1" w:styleId="a9">
    <w:name w:val="Основн"/>
    <w:basedOn w:val="a"/>
    <w:next w:val="a"/>
    <w:rsid w:val="00CD59DB"/>
    <w:pPr>
      <w:tabs>
        <w:tab w:val="left" w:pos="397"/>
        <w:tab w:val="left" w:pos="737"/>
      </w:tabs>
      <w:spacing w:line="200" w:lineRule="atLeast"/>
      <w:ind w:firstLine="340"/>
      <w:jc w:val="both"/>
    </w:pPr>
    <w:rPr>
      <w:sz w:val="20"/>
      <w:szCs w:val="20"/>
      <w:lang w:val="en-GB"/>
    </w:rPr>
  </w:style>
  <w:style w:type="paragraph" w:styleId="aa">
    <w:name w:val="Balloon Text"/>
    <w:basedOn w:val="a"/>
    <w:semiHidden/>
    <w:rsid w:val="00CD59DB"/>
    <w:rPr>
      <w:rFonts w:ascii="Tahoma" w:hAnsi="Tahoma" w:cs="Tahoma"/>
      <w:sz w:val="16"/>
      <w:szCs w:val="16"/>
    </w:rPr>
  </w:style>
  <w:style w:type="character" w:styleId="ab">
    <w:name w:val="footnote reference"/>
    <w:basedOn w:val="a0"/>
    <w:semiHidden/>
    <w:rsid w:val="00AB12B9"/>
    <w:rPr>
      <w:vertAlign w:val="superscript"/>
    </w:rPr>
  </w:style>
  <w:style w:type="paragraph" w:styleId="ac">
    <w:name w:val="Title"/>
    <w:basedOn w:val="a"/>
    <w:qFormat/>
    <w:rsid w:val="00CD59DB"/>
    <w:pPr>
      <w:jc w:val="center"/>
    </w:pPr>
    <w:rPr>
      <w:sz w:val="28"/>
      <w:szCs w:val="20"/>
    </w:rPr>
  </w:style>
  <w:style w:type="table" w:styleId="ad">
    <w:name w:val="Table Grid"/>
    <w:basedOn w:val="a1"/>
    <w:rsid w:val="00C65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rsid w:val="00B45117"/>
    <w:pPr>
      <w:widowControl w:val="0"/>
      <w:autoSpaceDE w:val="0"/>
      <w:autoSpaceDN w:val="0"/>
      <w:ind w:left="3537" w:right="-99" w:hanging="3537"/>
    </w:pPr>
    <w:rPr>
      <w:sz w:val="28"/>
      <w:szCs w:val="28"/>
    </w:rPr>
  </w:style>
  <w:style w:type="paragraph" w:customStyle="1" w:styleId="Heading1">
    <w:name w:val="Heading 1"/>
    <w:rsid w:val="00FE59B7"/>
    <w:pPr>
      <w:widowControl w:val="0"/>
      <w:autoSpaceDE w:val="0"/>
      <w:autoSpaceDN w:val="0"/>
      <w:spacing w:before="360" w:after="40"/>
    </w:pPr>
    <w:rPr>
      <w:b/>
      <w:bCs/>
      <w:sz w:val="24"/>
      <w:szCs w:val="24"/>
    </w:rPr>
  </w:style>
  <w:style w:type="paragraph" w:customStyle="1" w:styleId="ConsNonformat">
    <w:name w:val="ConsNonformat"/>
    <w:rsid w:val="00373832"/>
    <w:pPr>
      <w:snapToGrid w:val="0"/>
    </w:pPr>
    <w:rPr>
      <w:rFonts w:ascii="Consultant" w:hAnsi="Consultant"/>
    </w:rPr>
  </w:style>
  <w:style w:type="paragraph" w:styleId="af">
    <w:name w:val="footnote text"/>
    <w:basedOn w:val="a"/>
    <w:link w:val="af0"/>
    <w:unhideWhenUsed/>
    <w:rsid w:val="00064FEE"/>
    <w:rPr>
      <w:rFonts w:ascii="Arial" w:eastAsia="Geneva" w:hAnsi="Arial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064FEE"/>
    <w:rPr>
      <w:rFonts w:ascii="Arial" w:eastAsia="Geneva" w:hAnsi="Arial"/>
      <w:lang w:eastAsia="en-US"/>
    </w:rPr>
  </w:style>
  <w:style w:type="character" w:customStyle="1" w:styleId="a7">
    <w:name w:val="Верхний колонтитул Знак"/>
    <w:basedOn w:val="a0"/>
    <w:link w:val="a6"/>
    <w:rsid w:val="00064F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74;&#1077;&#1090;&#1072;\&#1053;&#1086;&#1074;&#1099;&#1077;%20&#1087;&#1088;&#1086;&#1090;&#1086;&#1082;&#1086;&#1083;&#1099;\&#1040;&#1074;&#1090;&#1086;%20(28.06.07&#1075;.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Авто (28.06.07г.)</Template>
  <TotalTime>1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ЗАО РК "Центр-Инвест"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Александр</dc:creator>
  <cp:keywords/>
  <cp:lastModifiedBy>GlavBuh</cp:lastModifiedBy>
  <cp:revision>2</cp:revision>
  <cp:lastPrinted>2008-09-11T08:53:00Z</cp:lastPrinted>
  <dcterms:created xsi:type="dcterms:W3CDTF">2011-03-21T10:19:00Z</dcterms:created>
  <dcterms:modified xsi:type="dcterms:W3CDTF">2011-03-21T10:19:00Z</dcterms:modified>
</cp:coreProperties>
</file>